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jc w:val="center"/>
        <w:rPr>
          <w:rFonts w:hint="eastAsia"/>
          <w:color w:val="000000" w:themeColor="text1"/>
          <w14:textFill>
            <w14:solidFill>
              <w14:schemeClr w14:val="tx1"/>
            </w14:solidFill>
          </w14:textFill>
        </w:rPr>
      </w:pPr>
    </w:p>
    <w:p>
      <w:pPr>
        <w:shd w:val="clear"/>
        <w:jc w:val="center"/>
        <w:rPr>
          <w:rFonts w:hint="eastAsia" w:eastAsiaTheme="minorEastAsia"/>
          <w:color w:val="000000" w:themeColor="text1"/>
          <w:lang w:eastAsia="zh-CN"/>
          <w14:textFill>
            <w14:solidFill>
              <w14:schemeClr w14:val="tx1"/>
            </w14:solidFill>
          </w14:textFill>
        </w:rPr>
      </w:pPr>
      <w:r>
        <w:rPr>
          <w:rFonts w:hint="eastAsia" w:eastAsiaTheme="minorEastAsia"/>
          <w:color w:val="000000" w:themeColor="text1"/>
          <w:lang w:eastAsia="zh-CN"/>
          <w14:textFill>
            <w14:solidFill>
              <w14:schemeClr w14:val="tx1"/>
            </w14:solidFill>
          </w14:textFill>
        </w:rPr>
        <w:drawing>
          <wp:inline distT="0" distB="0" distL="114300" distR="114300">
            <wp:extent cx="1259840" cy="1294130"/>
            <wp:effectExtent l="0" t="0" r="16510" b="1270"/>
            <wp:docPr id="2" name="图片 2"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11"/>
                    <pic:cNvPicPr>
                      <a:picLocks noChangeAspect="1"/>
                    </pic:cNvPicPr>
                  </pic:nvPicPr>
                  <pic:blipFill>
                    <a:blip r:embed="rId5"/>
                    <a:stretch>
                      <a:fillRect/>
                    </a:stretch>
                  </pic:blipFill>
                  <pic:spPr>
                    <a:xfrm>
                      <a:off x="0" y="0"/>
                      <a:ext cx="1259840" cy="1294130"/>
                    </a:xfrm>
                    <a:prstGeom prst="rect">
                      <a:avLst/>
                    </a:prstGeom>
                  </pic:spPr>
                </pic:pic>
              </a:graphicData>
            </a:graphic>
          </wp:inline>
        </w:drawing>
      </w:r>
    </w:p>
    <w:p>
      <w:pPr>
        <w:shd w:val="clear"/>
        <w:jc w:val="center"/>
        <w:rPr>
          <w:rFonts w:hint="eastAsia"/>
          <w:color w:val="000000" w:themeColor="text1"/>
          <w14:textFill>
            <w14:solidFill>
              <w14:schemeClr w14:val="tx1"/>
            </w14:solidFill>
          </w14:textFill>
        </w:rPr>
      </w:pPr>
    </w:p>
    <w:p>
      <w:pPr>
        <w:shd w:val="clear"/>
        <w:jc w:val="center"/>
        <w:rPr>
          <w:rFonts w:hint="eastAsia"/>
          <w:color w:val="000000" w:themeColor="text1"/>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color w:val="000000" w:themeColor="text1"/>
          <w:sz w:val="52"/>
          <w:szCs w:val="7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72"/>
          <w14:textFill>
            <w14:solidFill>
              <w14:schemeClr w14:val="tx1"/>
            </w14:solidFill>
          </w14:textFill>
        </w:rPr>
        <w:t>中国人民政治协商会议</w:t>
      </w:r>
    </w:p>
    <w:p>
      <w:pPr>
        <w:keepNext w:val="0"/>
        <w:keepLines w:val="0"/>
        <w:pageBreakBefore w:val="0"/>
        <w:widowControl w:val="0"/>
        <w:shd w:val="clear"/>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color w:val="000000" w:themeColor="text1"/>
          <w:sz w:val="52"/>
          <w:szCs w:val="7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72"/>
          <w14:textFill>
            <w14:solidFill>
              <w14:schemeClr w14:val="tx1"/>
            </w14:solidFill>
          </w14:textFill>
        </w:rPr>
        <w:t>仙桃市第十届委员会第</w:t>
      </w:r>
      <w:r>
        <w:rPr>
          <w:rFonts w:hint="eastAsia" w:ascii="方正小标宋简体" w:hAnsi="方正小标宋简体" w:eastAsia="方正小标宋简体" w:cs="方正小标宋简体"/>
          <w:color w:val="000000" w:themeColor="text1"/>
          <w:sz w:val="52"/>
          <w:szCs w:val="72"/>
          <w:lang w:eastAsia="zh-CN"/>
          <w14:textFill>
            <w14:solidFill>
              <w14:schemeClr w14:val="tx1"/>
            </w14:solidFill>
          </w14:textFill>
        </w:rPr>
        <w:t>二</w:t>
      </w:r>
      <w:r>
        <w:rPr>
          <w:rFonts w:hint="eastAsia" w:ascii="方正小标宋简体" w:hAnsi="方正小标宋简体" w:eastAsia="方正小标宋简体" w:cs="方正小标宋简体"/>
          <w:color w:val="000000" w:themeColor="text1"/>
          <w:sz w:val="52"/>
          <w:szCs w:val="72"/>
          <w14:textFill>
            <w14:solidFill>
              <w14:schemeClr w14:val="tx1"/>
            </w14:solidFill>
          </w14:textFill>
        </w:rPr>
        <w:t>次会议</w:t>
      </w:r>
    </w:p>
    <w:p>
      <w:pPr>
        <w:keepNext w:val="0"/>
        <w:keepLines w:val="0"/>
        <w:pageBreakBefore w:val="0"/>
        <w:widowControl w:val="0"/>
        <w:shd w:val="clear"/>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color w:val="000000" w:themeColor="text1"/>
          <w:sz w:val="52"/>
          <w:szCs w:val="7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72"/>
          <w14:textFill>
            <w14:solidFill>
              <w14:schemeClr w14:val="tx1"/>
            </w14:solidFill>
          </w14:textFill>
        </w:rPr>
        <w:t>大会发言及联组讨论</w:t>
      </w:r>
    </w:p>
    <w:p>
      <w:pPr>
        <w:keepNext w:val="0"/>
        <w:keepLines w:val="0"/>
        <w:pageBreakBefore w:val="0"/>
        <w:widowControl w:val="0"/>
        <w:shd w:val="clear"/>
        <w:kinsoku/>
        <w:wordWrap/>
        <w:overflowPunct/>
        <w:topLinePunct w:val="0"/>
        <w:autoSpaceDE/>
        <w:autoSpaceDN/>
        <w:bidi w:val="0"/>
        <w:adjustRightInd/>
        <w:snapToGrid/>
        <w:spacing w:line="300" w:lineRule="exact"/>
        <w:jc w:val="center"/>
        <w:textAlignment w:val="auto"/>
        <w:rPr>
          <w:rFonts w:hint="eastAsia" w:ascii="方正小标宋简体" w:hAnsi="方正小标宋简体" w:eastAsia="方正小标宋简体" w:cs="方正小标宋简体"/>
          <w:color w:val="000000" w:themeColor="text1"/>
          <w:sz w:val="52"/>
          <w:szCs w:val="7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300" w:lineRule="exact"/>
        <w:jc w:val="center"/>
        <w:textAlignment w:val="auto"/>
        <w:rPr>
          <w:rFonts w:hint="eastAsia" w:ascii="方正小标宋简体" w:hAnsi="方正小标宋简体" w:eastAsia="方正小标宋简体" w:cs="方正小标宋简体"/>
          <w:color w:val="000000" w:themeColor="text1"/>
          <w:sz w:val="52"/>
          <w:szCs w:val="7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1400" w:lineRule="exact"/>
        <w:jc w:val="center"/>
        <w:textAlignment w:val="auto"/>
        <w:rPr>
          <w:rFonts w:hint="eastAsia" w:ascii="隶书" w:hAnsi="隶书" w:eastAsia="隶书" w:cs="隶书"/>
          <w:color w:val="000000" w:themeColor="text1"/>
          <w:sz w:val="96"/>
          <w:szCs w:val="160"/>
          <w14:textFill>
            <w14:solidFill>
              <w14:schemeClr w14:val="tx1"/>
            </w14:solidFill>
          </w14:textFill>
        </w:rPr>
      </w:pPr>
      <w:r>
        <w:rPr>
          <w:rFonts w:hint="eastAsia" w:ascii="隶书" w:hAnsi="隶书" w:eastAsia="隶书" w:cs="隶书"/>
          <w:color w:val="000000" w:themeColor="text1"/>
          <w:sz w:val="96"/>
          <w:szCs w:val="160"/>
          <w14:textFill>
            <w14:solidFill>
              <w14:schemeClr w14:val="tx1"/>
            </w14:solidFill>
          </w14:textFill>
        </w:rPr>
        <w:t>材</w:t>
      </w:r>
    </w:p>
    <w:p>
      <w:pPr>
        <w:keepNext w:val="0"/>
        <w:keepLines w:val="0"/>
        <w:pageBreakBefore w:val="0"/>
        <w:widowControl w:val="0"/>
        <w:shd w:val="clear"/>
        <w:kinsoku/>
        <w:wordWrap/>
        <w:overflowPunct/>
        <w:topLinePunct w:val="0"/>
        <w:autoSpaceDE/>
        <w:autoSpaceDN/>
        <w:bidi w:val="0"/>
        <w:adjustRightInd/>
        <w:snapToGrid/>
        <w:spacing w:line="1400" w:lineRule="exact"/>
        <w:jc w:val="center"/>
        <w:textAlignment w:val="auto"/>
        <w:rPr>
          <w:rFonts w:hint="eastAsia" w:ascii="隶书" w:hAnsi="隶书" w:eastAsia="隶书" w:cs="隶书"/>
          <w:color w:val="000000" w:themeColor="text1"/>
          <w:sz w:val="96"/>
          <w:szCs w:val="160"/>
          <w14:textFill>
            <w14:solidFill>
              <w14:schemeClr w14:val="tx1"/>
            </w14:solidFill>
          </w14:textFill>
        </w:rPr>
      </w:pPr>
      <w:r>
        <w:rPr>
          <w:rFonts w:hint="eastAsia" w:ascii="隶书" w:hAnsi="隶书" w:eastAsia="隶书" w:cs="隶书"/>
          <w:color w:val="000000" w:themeColor="text1"/>
          <w:sz w:val="96"/>
          <w:szCs w:val="160"/>
          <w14:textFill>
            <w14:solidFill>
              <w14:schemeClr w14:val="tx1"/>
            </w14:solidFill>
          </w14:textFill>
        </w:rPr>
        <w:t>料</w:t>
      </w:r>
    </w:p>
    <w:p>
      <w:pPr>
        <w:keepNext w:val="0"/>
        <w:keepLines w:val="0"/>
        <w:pageBreakBefore w:val="0"/>
        <w:widowControl w:val="0"/>
        <w:shd w:val="clear"/>
        <w:kinsoku/>
        <w:wordWrap/>
        <w:overflowPunct/>
        <w:topLinePunct w:val="0"/>
        <w:autoSpaceDE/>
        <w:autoSpaceDN/>
        <w:bidi w:val="0"/>
        <w:adjustRightInd/>
        <w:snapToGrid/>
        <w:spacing w:line="1400" w:lineRule="exact"/>
        <w:jc w:val="center"/>
        <w:textAlignment w:val="auto"/>
        <w:rPr>
          <w:rFonts w:hint="eastAsia" w:ascii="隶书" w:hAnsi="隶书" w:eastAsia="隶书" w:cs="隶书"/>
          <w:color w:val="000000" w:themeColor="text1"/>
          <w:sz w:val="96"/>
          <w:szCs w:val="160"/>
          <w14:textFill>
            <w14:solidFill>
              <w14:schemeClr w14:val="tx1"/>
            </w14:solidFill>
          </w14:textFill>
        </w:rPr>
      </w:pPr>
      <w:r>
        <w:rPr>
          <w:rFonts w:hint="eastAsia" w:ascii="隶书" w:hAnsi="隶书" w:eastAsia="隶书" w:cs="隶书"/>
          <w:color w:val="000000" w:themeColor="text1"/>
          <w:sz w:val="96"/>
          <w:szCs w:val="160"/>
          <w14:textFill>
            <w14:solidFill>
              <w14:schemeClr w14:val="tx1"/>
            </w14:solidFill>
          </w14:textFill>
        </w:rPr>
        <w:t>汇</w:t>
      </w:r>
    </w:p>
    <w:p>
      <w:pPr>
        <w:keepNext w:val="0"/>
        <w:keepLines w:val="0"/>
        <w:pageBreakBefore w:val="0"/>
        <w:widowControl w:val="0"/>
        <w:shd w:val="clear"/>
        <w:kinsoku/>
        <w:wordWrap/>
        <w:overflowPunct/>
        <w:topLinePunct w:val="0"/>
        <w:autoSpaceDE/>
        <w:autoSpaceDN/>
        <w:bidi w:val="0"/>
        <w:adjustRightInd/>
        <w:snapToGrid/>
        <w:spacing w:line="1400" w:lineRule="exact"/>
        <w:jc w:val="center"/>
        <w:textAlignment w:val="auto"/>
        <w:rPr>
          <w:rFonts w:hint="eastAsia" w:ascii="隶书" w:hAnsi="隶书" w:eastAsia="隶书" w:cs="隶书"/>
          <w:color w:val="000000" w:themeColor="text1"/>
          <w:sz w:val="96"/>
          <w:szCs w:val="160"/>
          <w14:textFill>
            <w14:solidFill>
              <w14:schemeClr w14:val="tx1"/>
            </w14:solidFill>
          </w14:textFill>
        </w:rPr>
      </w:pPr>
      <w:r>
        <w:rPr>
          <w:rFonts w:hint="eastAsia" w:ascii="隶书" w:hAnsi="隶书" w:eastAsia="隶书" w:cs="隶书"/>
          <w:color w:val="000000" w:themeColor="text1"/>
          <w:sz w:val="96"/>
          <w:szCs w:val="160"/>
          <w14:textFill>
            <w14:solidFill>
              <w14:schemeClr w14:val="tx1"/>
            </w14:solidFill>
          </w14:textFill>
        </w:rPr>
        <w:t>编</w:t>
      </w:r>
    </w:p>
    <w:p>
      <w:pPr>
        <w:keepNext w:val="0"/>
        <w:keepLines w:val="0"/>
        <w:pageBreakBefore w:val="0"/>
        <w:widowControl w:val="0"/>
        <w:shd w:val="clear"/>
        <w:kinsoku/>
        <w:wordWrap/>
        <w:overflowPunct/>
        <w:topLinePunct w:val="0"/>
        <w:autoSpaceDE/>
        <w:autoSpaceDN/>
        <w:bidi w:val="0"/>
        <w:adjustRightInd/>
        <w:snapToGrid/>
        <w:spacing w:line="300" w:lineRule="exact"/>
        <w:jc w:val="center"/>
        <w:textAlignment w:val="auto"/>
        <w:rPr>
          <w:rFonts w:hint="eastAsia" w:ascii="方正隶书简体" w:hAnsi="方正隶书简体" w:eastAsia="方正隶书简体" w:cs="方正隶书简体"/>
          <w:color w:val="000000" w:themeColor="text1"/>
          <w:sz w:val="96"/>
          <w:szCs w:val="160"/>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300" w:lineRule="exact"/>
        <w:jc w:val="center"/>
        <w:textAlignment w:val="auto"/>
        <w:rPr>
          <w:rFonts w:hint="eastAsia" w:ascii="方正隶书简体" w:hAnsi="方正隶书简体" w:eastAsia="方正隶书简体" w:cs="方正隶书简体"/>
          <w:color w:val="000000" w:themeColor="text1"/>
          <w:sz w:val="96"/>
          <w:szCs w:val="160"/>
          <w14:textFill>
            <w14:solidFill>
              <w14:schemeClr w14:val="tx1"/>
            </w14:solidFill>
          </w14:textFill>
        </w:rPr>
      </w:pPr>
    </w:p>
    <w:p>
      <w:pPr>
        <w:shd w:val="clear"/>
        <w:jc w:val="center"/>
        <w:rPr>
          <w:rFonts w:hint="eastAsia" w:ascii="楷体_GB2312" w:hAnsi="楷体_GB2312" w:eastAsia="楷体_GB2312" w:cs="楷体_GB2312"/>
          <w:color w:val="000000" w:themeColor="text1"/>
          <w:sz w:val="40"/>
          <w:szCs w:val="40"/>
          <w14:textFill>
            <w14:solidFill>
              <w14:schemeClr w14:val="tx1"/>
            </w14:solidFill>
          </w14:textFill>
        </w:rPr>
      </w:pPr>
      <w:r>
        <w:rPr>
          <w:rFonts w:hint="eastAsia" w:ascii="楷体_GB2312" w:hAnsi="楷体_GB2312" w:eastAsia="楷体_GB2312" w:cs="楷体_GB2312"/>
          <w:color w:val="000000" w:themeColor="text1"/>
          <w:sz w:val="40"/>
          <w:szCs w:val="40"/>
          <w14:textFill>
            <w14:solidFill>
              <w14:schemeClr w14:val="tx1"/>
            </w14:solidFill>
          </w14:textFill>
        </w:rPr>
        <w:t>政协仙桃市委员会办公室</w:t>
      </w:r>
    </w:p>
    <w:p>
      <w:pPr>
        <w:shd w:val="clear"/>
        <w:jc w:val="center"/>
        <w:rPr>
          <w:rFonts w:hint="eastAsia" w:ascii="楷体_GB2312" w:hAnsi="楷体_GB2312" w:eastAsia="楷体_GB2312" w:cs="楷体_GB2312"/>
          <w:color w:val="000000" w:themeColor="text1"/>
          <w:sz w:val="40"/>
          <w:szCs w:val="40"/>
          <w14:textFill>
            <w14:solidFill>
              <w14:schemeClr w14:val="tx1"/>
            </w14:solidFill>
          </w14:textFill>
        </w:rPr>
      </w:pPr>
      <w:r>
        <w:rPr>
          <w:rFonts w:hint="eastAsia" w:ascii="楷体_GB2312" w:hAnsi="楷体_GB2312" w:eastAsia="楷体_GB2312" w:cs="楷体_GB2312"/>
          <w:color w:val="000000" w:themeColor="text1"/>
          <w:sz w:val="40"/>
          <w:szCs w:val="40"/>
          <w14:textFill>
            <w14:solidFill>
              <w14:schemeClr w14:val="tx1"/>
            </w14:solidFill>
          </w14:textFill>
        </w:rPr>
        <w:t>202</w:t>
      </w:r>
      <w:r>
        <w:rPr>
          <w:rFonts w:hint="eastAsia" w:ascii="楷体_GB2312" w:hAnsi="楷体_GB2312" w:eastAsia="楷体_GB2312" w:cs="楷体_GB2312"/>
          <w:color w:val="000000" w:themeColor="text1"/>
          <w:sz w:val="40"/>
          <w:szCs w:val="40"/>
          <w:lang w:val="en-US" w:eastAsia="zh-CN"/>
          <w14:textFill>
            <w14:solidFill>
              <w14:schemeClr w14:val="tx1"/>
            </w14:solidFill>
          </w14:textFill>
        </w:rPr>
        <w:t>2</w:t>
      </w:r>
      <w:r>
        <w:rPr>
          <w:rFonts w:hint="eastAsia" w:ascii="楷体_GB2312" w:hAnsi="楷体_GB2312" w:eastAsia="楷体_GB2312" w:cs="楷体_GB2312"/>
          <w:color w:val="000000" w:themeColor="text1"/>
          <w:sz w:val="40"/>
          <w:szCs w:val="40"/>
          <w14:textFill>
            <w14:solidFill>
              <w14:schemeClr w14:val="tx1"/>
            </w14:solidFill>
          </w14:textFill>
        </w:rPr>
        <w:t>年12月</w:t>
      </w:r>
    </w:p>
    <w:p>
      <w:pPr>
        <w:shd w:val="clear"/>
        <w:rPr>
          <w:rFonts w:hint="default" w:ascii="Times New Roman" w:hAnsi="Times New Roman" w:eastAsia="方正小标宋简体" w:cs="Times New Roman"/>
          <w:color w:val="000000" w:themeColor="text1"/>
          <w:sz w:val="44"/>
          <w:szCs w:val="44"/>
          <w14:textFill>
            <w14:solidFill>
              <w14:schemeClr w14:val="tx1"/>
            </w14:solidFill>
          </w14:textFill>
        </w:rPr>
      </w:pPr>
      <w:r>
        <w:rPr>
          <w:rFonts w:hint="default" w:ascii="Times New Roman" w:hAnsi="Times New Roman" w:eastAsia="方正小标宋简体" w:cs="Times New Roman"/>
          <w:color w:val="000000" w:themeColor="text1"/>
          <w:sz w:val="44"/>
          <w:szCs w:val="44"/>
          <w14:textFill>
            <w14:solidFill>
              <w14:schemeClr w14:val="tx1"/>
            </w14:solidFill>
          </w14:textFill>
        </w:rPr>
        <w:br w:type="page"/>
      </w:r>
    </w:p>
    <w:p>
      <w:pPr>
        <w:pStyle w:val="19"/>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themeColor="text1"/>
          <w:sz w:val="44"/>
          <w:szCs w:val="44"/>
          <w14:textFill>
            <w14:solidFill>
              <w14:schemeClr w14:val="tx1"/>
            </w14:solidFill>
          </w14:textFill>
        </w:rPr>
      </w:pPr>
    </w:p>
    <w:p>
      <w:pPr>
        <w:pStyle w:val="19"/>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themeColor="text1"/>
          <w:sz w:val="44"/>
          <w:szCs w:val="44"/>
          <w14:textFill>
            <w14:solidFill>
              <w14:schemeClr w14:val="tx1"/>
            </w14:solidFill>
          </w14:textFill>
        </w:rPr>
      </w:pPr>
      <w:r>
        <w:rPr>
          <w:rFonts w:hint="default" w:ascii="Times New Roman" w:hAnsi="Times New Roman" w:eastAsia="方正小标宋简体" w:cs="Times New Roman"/>
          <w:color w:val="000000" w:themeColor="text1"/>
          <w:sz w:val="44"/>
          <w:szCs w:val="44"/>
          <w14:textFill>
            <w14:solidFill>
              <w14:schemeClr w14:val="tx1"/>
            </w14:solidFill>
          </w14:textFill>
        </w:rPr>
        <w:t>目    录</w:t>
      </w:r>
    </w:p>
    <w:p>
      <w:pPr>
        <w:pStyle w:val="19"/>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themeColor="text1"/>
          <w:sz w:val="30"/>
          <w:szCs w:val="30"/>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kern w:val="21"/>
          <w:sz w:val="30"/>
          <w:szCs w:val="30"/>
          <w14:textFill>
            <w14:solidFill>
              <w14:schemeClr w14:val="tx1"/>
            </w14:solidFill>
          </w14:textFill>
        </w:rPr>
      </w:pPr>
      <w:r>
        <w:rPr>
          <w:rFonts w:hint="default" w:ascii="Times New Roman" w:hAnsi="Times New Roman" w:eastAsia="黑体" w:cs="Times New Roman"/>
          <w:color w:val="000000" w:themeColor="text1"/>
          <w:sz w:val="30"/>
          <w:szCs w:val="30"/>
          <w14:textFill>
            <w14:solidFill>
              <w14:schemeClr w14:val="tx1"/>
            </w14:solidFill>
          </w14:textFill>
        </w:rPr>
        <w:t>一、大会发言</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1</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发展现代农业</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0"/>
          <w:szCs w:val="30"/>
          <w14:textFill>
            <w14:solidFill>
              <w14:schemeClr w14:val="tx1"/>
            </w14:solidFill>
          </w14:textFill>
        </w:rPr>
        <w:t xml:space="preserve"> 为挺进五十强培育最优“潜力股”</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420" w:leftChars="20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fldChar w:fldCharType="begin"/>
      </w:r>
      <w:r>
        <w:rPr>
          <w:rFonts w:hint="eastAsia" w:ascii="仿宋_GB2312" w:hAnsi="仿宋_GB2312" w:eastAsia="仿宋_GB2312" w:cs="仿宋_GB2312"/>
          <w:color w:val="000000" w:themeColor="text1"/>
          <w:sz w:val="30"/>
          <w:szCs w:val="30"/>
          <w14:textFill>
            <w14:solidFill>
              <w14:schemeClr w14:val="tx1"/>
            </w14:solidFill>
          </w14:textFill>
        </w:rPr>
        <w:instrText xml:space="preserve"> HYPERLINK \l "_Toc5691" </w:instrText>
      </w:r>
      <w:r>
        <w:rPr>
          <w:rFonts w:hint="eastAsia" w:ascii="仿宋_GB2312" w:hAnsi="仿宋_GB2312" w:eastAsia="仿宋_GB2312" w:cs="仿宋_GB2312"/>
          <w:color w:val="000000" w:themeColor="text1"/>
          <w:sz w:val="30"/>
          <w:szCs w:val="30"/>
          <w14:textFill>
            <w14:solidFill>
              <w14:schemeClr w14:val="tx1"/>
            </w14:solidFill>
          </w14:textFill>
        </w:rPr>
        <w:fldChar w:fldCharType="separate"/>
      </w:r>
      <w:r>
        <w:rPr>
          <w:rFonts w:hint="eastAsia" w:ascii="仿宋_GB2312" w:hAnsi="仿宋_GB2312" w:eastAsia="仿宋_GB2312" w:cs="仿宋_GB2312"/>
          <w:color w:val="000000" w:themeColor="text1"/>
          <w:sz w:val="30"/>
          <w:szCs w:val="30"/>
          <w14:textFill>
            <w14:solidFill>
              <w14:schemeClr w14:val="tx1"/>
            </w14:solidFill>
          </w14:textFill>
        </w:rPr>
        <w:t>——关于加快我市农业农村现代化建设的建议</w:t>
      </w:r>
      <w:r>
        <w:rPr>
          <w:rFonts w:hint="eastAsia" w:ascii="仿宋_GB2312" w:hAnsi="仿宋_GB2312" w:eastAsia="仿宋_GB2312" w:cs="仿宋_GB2312"/>
          <w:color w:val="000000" w:themeColor="text1"/>
          <w:sz w:val="30"/>
          <w:szCs w:val="30"/>
          <w14:textFill>
            <w14:solidFill>
              <w14:schemeClr w14:val="tx1"/>
            </w14:solidFill>
          </w14:textFill>
        </w:rPr>
        <w:fldChar w:fldCharType="end"/>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420" w:leftChars="200" w:firstLine="0" w:firstLineChars="0"/>
        <w:jc w:val="both"/>
        <w:textAlignment w:val="auto"/>
        <w:rPr>
          <w:rFonts w:hint="default" w:ascii="Times New Roman" w:hAnsi="Times New Roman" w:eastAsia="楷体_GB2312" w:cs="Times New Roman"/>
          <w:color w:val="000000" w:themeColor="text1"/>
          <w:sz w:val="30"/>
          <w:szCs w:val="30"/>
          <w14:textFill>
            <w14:solidFill>
              <w14:schemeClr w14:val="tx1"/>
            </w14:solidFill>
          </w14:textFill>
        </w:rPr>
      </w:pPr>
      <w:bookmarkStart w:id="0" w:name="_Hlk122440763"/>
      <w:r>
        <w:rPr>
          <w:rFonts w:hint="default" w:ascii="Times New Roman" w:hAnsi="Times New Roman" w:eastAsia="楷体_GB2312" w:cs="Times New Roman"/>
          <w:color w:val="000000" w:themeColor="text1"/>
          <w:sz w:val="30"/>
          <w:szCs w:val="30"/>
          <w14:textFill>
            <w14:solidFill>
              <w14:schemeClr w14:val="tx1"/>
            </w14:solidFill>
          </w14:textFill>
        </w:rPr>
        <w:t>农林水委员组  丁斌</w:t>
      </w:r>
      <w:bookmarkEnd w:id="0"/>
      <w:r>
        <w:rPr>
          <w:rFonts w:hint="eastAsia" w:eastAsia="楷体_GB2312" w:cs="Times New Roman"/>
          <w:color w:val="000000" w:themeColor="text1"/>
          <w:sz w:val="30"/>
          <w:szCs w:val="30"/>
          <w:lang w:val="en-US" w:eastAsia="zh-CN"/>
          <w14:textFill>
            <w14:solidFill>
              <w14:schemeClr w14:val="tx1"/>
            </w14:solidFill>
          </w14:textFill>
        </w:rPr>
        <w:tab/>
      </w:r>
      <w:r>
        <w:rPr>
          <w:rFonts w:hint="default" w:ascii="Times New Roman" w:hAnsi="Times New Roman" w:eastAsia="楷体_GB2312" w:cs="Times New Roman"/>
          <w:color w:val="000000" w:themeColor="text1"/>
          <w:sz w:val="30"/>
          <w:szCs w:val="30"/>
          <w14:textFill>
            <w14:solidFill>
              <w14:schemeClr w14:val="tx1"/>
            </w14:solidFill>
          </w14:textFill>
        </w:rPr>
        <w:t>1</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楷体_GB2312" w:cs="Times New Roman"/>
          <w:color w:val="000000" w:themeColor="text1"/>
          <w:sz w:val="30"/>
          <w:szCs w:val="30"/>
          <w:lang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2</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lang w:eastAsia="zh-CN"/>
          <w14:textFill>
            <w14:solidFill>
              <w14:schemeClr w14:val="tx1"/>
            </w14:solidFill>
          </w14:textFill>
        </w:rPr>
        <w:t>我所理解的共同富裕仙桃样板</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420" w:leftChars="2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eastAsia" w:eastAsia="楷体_GB2312" w:cs="Times New Roman"/>
          <w:color w:val="000000" w:themeColor="text1"/>
          <w:sz w:val="30"/>
          <w:szCs w:val="30"/>
          <w:lang w:eastAsia="zh-CN"/>
          <w14:textFill>
            <w14:solidFill>
              <w14:schemeClr w14:val="tx1"/>
            </w14:solidFill>
          </w14:textFill>
        </w:rPr>
        <w:t>市</w:t>
      </w:r>
      <w:r>
        <w:rPr>
          <w:rFonts w:hint="default" w:ascii="Times New Roman" w:hAnsi="Times New Roman" w:eastAsia="楷体_GB2312" w:cs="Times New Roman"/>
          <w:color w:val="000000" w:themeColor="text1"/>
          <w:sz w:val="30"/>
          <w:szCs w:val="30"/>
          <w14:textFill>
            <w14:solidFill>
              <w14:schemeClr w14:val="tx1"/>
            </w14:solidFill>
          </w14:textFill>
        </w:rPr>
        <w:t xml:space="preserve">政协机关委员组  </w:t>
      </w:r>
      <w:r>
        <w:rPr>
          <w:rFonts w:hint="eastAsia" w:ascii="Times New Roman" w:hAnsi="Times New Roman" w:eastAsia="楷体_GB2312" w:cs="Times New Roman"/>
          <w:color w:val="000000" w:themeColor="text1"/>
          <w:kern w:val="2"/>
          <w:sz w:val="30"/>
          <w:szCs w:val="30"/>
          <w:lang w:val="en-US" w:eastAsia="zh-CN" w:bidi="ar-SA"/>
          <w14:textFill>
            <w14:solidFill>
              <w14:schemeClr w14:val="tx1"/>
            </w14:solidFill>
          </w14:textFill>
        </w:rPr>
        <w:t>汪洋</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4</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3</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建设四化同步发展示范区关键在同步</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420" w:leftChars="200" w:firstLine="0" w:firstLineChars="0"/>
        <w:jc w:val="both"/>
        <w:textAlignment w:val="auto"/>
        <w:rPr>
          <w:rFonts w:hint="eastAsia"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杜湖委员组  严玄</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8</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450" w:leftChars="0" w:hanging="450" w:hangingChars="15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4</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关于进一步提高整治群众身边腐败和作风问题的能力和水平，让群众获得感成色更足的建议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420" w:leftChars="2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党群委员组  罗运梅</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11</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5</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新时代干部必须懂点金融</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420" w:leftChars="20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bookmarkStart w:id="1" w:name="_Hlk122442333"/>
      <w:r>
        <w:rPr>
          <w:rFonts w:hint="eastAsia" w:ascii="仿宋_GB2312" w:hAnsi="仿宋_GB2312" w:eastAsia="仿宋_GB2312" w:cs="仿宋_GB2312"/>
          <w:color w:val="000000" w:themeColor="text1"/>
          <w:sz w:val="30"/>
          <w:szCs w:val="30"/>
          <w14:textFill>
            <w14:solidFill>
              <w14:schemeClr w14:val="tx1"/>
            </w14:solidFill>
          </w14:textFill>
        </w:rPr>
        <w:t>——关于加大金融培训力度，提升干部金融素养的建议</w:t>
      </w:r>
    </w:p>
    <w:bookmarkEnd w:id="1"/>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420" w:leftChars="2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 xml:space="preserve">财贸委员组  </w:t>
      </w:r>
      <w:r>
        <w:rPr>
          <w:rFonts w:hint="eastAsia" w:eastAsia="楷体_GB2312" w:cs="Times New Roman"/>
          <w:color w:val="000000" w:themeColor="text1"/>
          <w:sz w:val="30"/>
          <w:szCs w:val="30"/>
          <w:lang w:eastAsia="zh-CN"/>
          <w14:textFill>
            <w14:solidFill>
              <w14:schemeClr w14:val="tx1"/>
            </w14:solidFill>
          </w14:textFill>
        </w:rPr>
        <w:t>梁振亮</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14</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6</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守护好仙桃一片蓝天</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420" w:leftChars="20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bookmarkStart w:id="2" w:name="_Hlk122436871"/>
      <w:r>
        <w:rPr>
          <w:rFonts w:hint="eastAsia" w:ascii="仿宋_GB2312" w:hAnsi="仿宋_GB2312" w:eastAsia="仿宋_GB2312" w:cs="仿宋_GB2312"/>
          <w:color w:val="000000" w:themeColor="text1"/>
          <w:sz w:val="30"/>
          <w:szCs w:val="30"/>
          <w14:textFill>
            <w14:solidFill>
              <w14:schemeClr w14:val="tx1"/>
            </w14:solidFill>
          </w14:textFill>
        </w:rPr>
        <w:t>——</w:t>
      </w:r>
      <w:bookmarkEnd w:id="2"/>
      <w:r>
        <w:rPr>
          <w:rFonts w:hint="eastAsia" w:ascii="仿宋_GB2312" w:hAnsi="仿宋_GB2312" w:eastAsia="仿宋_GB2312" w:cs="仿宋_GB2312"/>
          <w:color w:val="000000" w:themeColor="text1"/>
          <w:sz w:val="30"/>
          <w:szCs w:val="30"/>
          <w14:textFill>
            <w14:solidFill>
              <w14:schemeClr w14:val="tx1"/>
            </w14:solidFill>
          </w14:textFill>
        </w:rPr>
        <w:t>关于大气污染防治对策的建议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420" w:leftChars="2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综合二委员组  李启文</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17</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7</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美丽乡村最不能遗忘的是文化乡愁</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420" w:leftChars="200" w:firstLine="0" w:firstLineChars="0"/>
        <w:jc w:val="both"/>
        <w:textAlignment w:val="auto"/>
        <w:rPr>
          <w:rFonts w:hint="default" w:ascii="Times New Roman" w:hAnsi="Times New Roman" w:eastAsia="楷体_GB2312" w:cs="Times New Roman"/>
          <w:color w:val="000000" w:themeColor="text1"/>
          <w:sz w:val="30"/>
          <w:szCs w:val="30"/>
          <w14:textFill>
            <w14:solidFill>
              <w14:schemeClr w14:val="tx1"/>
            </w14:solidFill>
          </w14:textFill>
        </w:rPr>
      </w:pPr>
      <w:bookmarkStart w:id="3" w:name="_Hlk122436963"/>
      <w:r>
        <w:rPr>
          <w:rFonts w:hint="eastAsia" w:ascii="仿宋_GB2312" w:hAnsi="仿宋_GB2312" w:eastAsia="仿宋_GB2312" w:cs="仿宋_GB2312"/>
          <w:color w:val="000000" w:themeColor="text1"/>
          <w:sz w:val="30"/>
          <w:szCs w:val="30"/>
          <w14:textFill>
            <w14:solidFill>
              <w14:schemeClr w14:val="tx1"/>
            </w14:solidFill>
          </w14:textFill>
        </w:rPr>
        <w:t>——</w:t>
      </w:r>
      <w:bookmarkEnd w:id="3"/>
      <w:r>
        <w:rPr>
          <w:rFonts w:hint="eastAsia" w:ascii="仿宋_GB2312" w:hAnsi="仿宋_GB2312" w:eastAsia="仿宋_GB2312" w:cs="仿宋_GB2312"/>
          <w:color w:val="000000" w:themeColor="text1"/>
          <w:sz w:val="30"/>
          <w:szCs w:val="30"/>
          <w14:textFill>
            <w14:solidFill>
              <w14:schemeClr w14:val="tx1"/>
            </w14:solidFill>
          </w14:textFill>
        </w:rPr>
        <w:t>关于在乡村振兴战略中如何展现文化担当作为的建议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420" w:leftChars="2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宣传委员组  曾静</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20</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8</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让择校成为家长永远的记忆</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420" w:leftChars="200" w:firstLine="0" w:firstLineChars="0"/>
        <w:jc w:val="both"/>
        <w:textAlignment w:val="auto"/>
        <w:rPr>
          <w:rFonts w:hint="eastAsia" w:ascii="仿宋_GB2312" w:hAnsi="仿宋_GB2312" w:eastAsia="仿宋_GB2312" w:cs="仿宋_GB2312"/>
          <w:color w:val="000000" w:themeColor="text1"/>
          <w:spacing w:val="-6"/>
          <w:sz w:val="30"/>
          <w:szCs w:val="30"/>
          <w14:textFill>
            <w14:solidFill>
              <w14:schemeClr w14:val="tx1"/>
            </w14:solidFill>
          </w14:textFill>
        </w:rPr>
      </w:pPr>
      <w:r>
        <w:rPr>
          <w:rFonts w:hint="eastAsia" w:ascii="仿宋_GB2312" w:hAnsi="仿宋_GB2312" w:eastAsia="仿宋_GB2312" w:cs="仿宋_GB2312"/>
          <w:color w:val="000000" w:themeColor="text1"/>
          <w:spacing w:val="-6"/>
          <w:sz w:val="30"/>
          <w:szCs w:val="30"/>
          <w14:textFill>
            <w14:solidFill>
              <w14:schemeClr w14:val="tx1"/>
            </w14:solidFill>
          </w14:textFill>
        </w:rPr>
        <w:t>——关于推进县域教联体建设，促进优质教育资源共享的建议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420" w:leftChars="2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 xml:space="preserve">教育委员组  </w:t>
      </w:r>
      <w:r>
        <w:rPr>
          <w:rFonts w:hint="eastAsia" w:eastAsia="楷体_GB2312" w:cs="Times New Roman"/>
          <w:color w:val="000000" w:themeColor="text1"/>
          <w:sz w:val="30"/>
          <w:szCs w:val="30"/>
          <w:lang w:eastAsia="zh-CN"/>
          <w14:textFill>
            <w14:solidFill>
              <w14:schemeClr w14:val="tx1"/>
            </w14:solidFill>
          </w14:textFill>
        </w:rPr>
        <w:t>陈丽</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23</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9</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 xml:space="preserve">启动仙桃科学城建设 </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0"/>
          <w:szCs w:val="30"/>
          <w14:textFill>
            <w14:solidFill>
              <w14:schemeClr w14:val="tx1"/>
            </w14:solidFill>
          </w14:textFill>
        </w:rPr>
        <w:t>强化创新策源动能</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420" w:leftChars="2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综合一委员组  李国才</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27</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10</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整治“五小车辆”</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0"/>
          <w:szCs w:val="30"/>
          <w14:textFill>
            <w14:solidFill>
              <w14:schemeClr w14:val="tx1"/>
            </w14:solidFill>
          </w14:textFill>
        </w:rPr>
        <w:t xml:space="preserve"> 缓解路堵心塞</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630" w:leftChars="30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——关于深化“五小车辆”整治，规范道路交通秩序的建议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630" w:leftChars="3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政法委员组  曾菊红</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31</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default" w:ascii="Times New Roman" w:hAnsi="Times New Roman" w:eastAsia="楷体_GB2312" w:cs="Times New Roman"/>
          <w:color w:val="000000" w:themeColor="text1"/>
          <w:sz w:val="30"/>
          <w:szCs w:val="30"/>
          <w14:textFill>
            <w14:solidFill>
              <w14:schemeClr w14:val="tx1"/>
            </w14:solidFill>
          </w14:textFill>
        </w:rPr>
      </w:pP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黑体" w:cs="Times New Roman"/>
          <w:color w:val="000000" w:themeColor="text1"/>
          <w:sz w:val="30"/>
          <w:szCs w:val="30"/>
          <w14:textFill>
            <w14:solidFill>
              <w14:schemeClr w14:val="tx1"/>
            </w14:solidFill>
          </w14:textFill>
        </w:rPr>
      </w:pPr>
      <w:r>
        <w:rPr>
          <w:rFonts w:hint="default" w:ascii="Times New Roman" w:hAnsi="Times New Roman" w:eastAsia="黑体" w:cs="Times New Roman"/>
          <w:color w:val="000000" w:themeColor="text1"/>
          <w:sz w:val="30"/>
          <w:szCs w:val="30"/>
          <w14:textFill>
            <w14:solidFill>
              <w14:schemeClr w14:val="tx1"/>
            </w14:solidFill>
          </w14:textFill>
        </w:rPr>
        <w:t>二、联组讨论</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11</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lang w:eastAsia="zh-CN"/>
          <w14:textFill>
            <w14:solidFill>
              <w14:schemeClr w14:val="tx1"/>
            </w14:solidFill>
          </w14:textFill>
        </w:rPr>
        <w:t>厚植发展土壤</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 xml:space="preserve">  激发创新活力</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630" w:leftChars="30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bookmarkStart w:id="4" w:name="_Hlk122437553"/>
      <w:r>
        <w:rPr>
          <w:rFonts w:hint="eastAsia" w:ascii="仿宋_GB2312" w:hAnsi="仿宋_GB2312" w:eastAsia="仿宋_GB2312" w:cs="仿宋_GB2312"/>
          <w:color w:val="000000" w:themeColor="text1"/>
          <w:sz w:val="30"/>
          <w:szCs w:val="30"/>
          <w14:textFill>
            <w14:solidFill>
              <w14:schemeClr w14:val="tx1"/>
            </w14:solidFill>
          </w14:textFill>
        </w:rPr>
        <w:t>——</w:t>
      </w:r>
      <w:bookmarkEnd w:id="4"/>
      <w:r>
        <w:rPr>
          <w:rFonts w:hint="eastAsia" w:ascii="仿宋_GB2312" w:hAnsi="仿宋_GB2312" w:eastAsia="仿宋_GB2312" w:cs="仿宋_GB2312"/>
          <w:color w:val="000000" w:themeColor="text1"/>
          <w:sz w:val="30"/>
          <w:szCs w:val="30"/>
          <w14:textFill>
            <w14:solidFill>
              <w14:schemeClr w14:val="tx1"/>
            </w14:solidFill>
          </w14:textFill>
        </w:rPr>
        <w:t>关于加强我市数字经济建设的建议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630" w:leftChars="3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工交外经委员组  柯善杰</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35</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12</w:t>
      </w:r>
      <w:bookmarkStart w:id="5" w:name="_Hlk122444066"/>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以新形态满足城市公共服务新需求</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630" w:leftChars="30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——关于推进口袋公园、智能停车场、新能源汽车充电桩等公共设施实现共建共享的建议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630" w:leftChars="3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综合二委员组  柳俊</w:t>
      </w:r>
      <w:bookmarkEnd w:id="5"/>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38</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13</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打好仙桃城区停车难的“地道战”</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630" w:leftChars="300" w:firstLine="0" w:firstLineChars="0"/>
        <w:jc w:val="both"/>
        <w:textAlignment w:val="auto"/>
        <w:rPr>
          <w:rFonts w:hint="eastAsia" w:ascii="仿宋_GB2312" w:hAnsi="仿宋_GB2312" w:eastAsia="仿宋_GB2312" w:cs="仿宋_GB2312"/>
          <w:color w:val="000000" w:themeColor="text1"/>
          <w:spacing w:val="-11"/>
          <w:sz w:val="30"/>
          <w:szCs w:val="30"/>
          <w14:textFill>
            <w14:solidFill>
              <w14:schemeClr w14:val="tx1"/>
            </w14:solidFill>
          </w14:textFill>
        </w:rPr>
      </w:pPr>
      <w:r>
        <w:rPr>
          <w:rFonts w:hint="eastAsia" w:ascii="仿宋_GB2312" w:hAnsi="仿宋_GB2312" w:eastAsia="仿宋_GB2312" w:cs="仿宋_GB2312"/>
          <w:color w:val="000000" w:themeColor="text1"/>
          <w:spacing w:val="-11"/>
          <w:sz w:val="30"/>
          <w:szCs w:val="30"/>
          <w14:textFill>
            <w14:solidFill>
              <w14:schemeClr w14:val="tx1"/>
            </w14:solidFill>
          </w14:textFill>
        </w:rPr>
        <w:t>——关于有效利用地下停车位资源，缓解城区停车难问题的建议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630" w:leftChars="3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 xml:space="preserve">干河委员组  </w:t>
      </w:r>
      <w:r>
        <w:rPr>
          <w:rFonts w:hint="eastAsia" w:eastAsia="楷体_GB2312" w:cs="Times New Roman"/>
          <w:color w:val="000000" w:themeColor="text1"/>
          <w:sz w:val="30"/>
          <w:szCs w:val="30"/>
          <w:lang w:eastAsia="zh-CN"/>
          <w14:textFill>
            <w14:solidFill>
              <w14:schemeClr w14:val="tx1"/>
            </w14:solidFill>
          </w14:textFill>
        </w:rPr>
        <w:t>郑露</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41</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14</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从仙桃人去武汉就医现象，看如何提升城市医疗“软实力”</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630" w:leftChars="300" w:firstLine="0" w:firstLineChars="0"/>
        <w:jc w:val="both"/>
        <w:textAlignment w:val="auto"/>
        <w:rPr>
          <w:rFonts w:hint="eastAsia" w:ascii="仿宋_GB2312" w:hAnsi="仿宋_GB2312" w:eastAsia="仿宋_GB2312" w:cs="仿宋_GB2312"/>
          <w:color w:val="000000" w:themeColor="text1"/>
          <w:spacing w:val="-17"/>
          <w:sz w:val="30"/>
          <w:szCs w:val="30"/>
          <w14:textFill>
            <w14:solidFill>
              <w14:schemeClr w14:val="tx1"/>
            </w14:solidFill>
          </w14:textFill>
        </w:rPr>
      </w:pPr>
      <w:r>
        <w:rPr>
          <w:rFonts w:hint="eastAsia" w:ascii="仿宋_GB2312" w:hAnsi="仿宋_GB2312" w:eastAsia="仿宋_GB2312" w:cs="仿宋_GB2312"/>
          <w:color w:val="000000" w:themeColor="text1"/>
          <w:spacing w:val="-17"/>
          <w:sz w:val="30"/>
          <w:szCs w:val="30"/>
          <w14:textFill>
            <w14:solidFill>
              <w14:schemeClr w14:val="tx1"/>
            </w14:solidFill>
          </w14:textFill>
        </w:rPr>
        <w:t>——关于加快引进高层次人才提高三甲医院医疗服务水平的建议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630" w:leftChars="3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医药卫生委员组  肖兵</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44</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lang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15</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lang w:eastAsia="zh-CN"/>
          <w14:textFill>
            <w14:solidFill>
              <w14:schemeClr w14:val="tx1"/>
            </w14:solidFill>
          </w14:textFill>
        </w:rPr>
        <w:t>健全全民健身公共服务体系，为群众提供更多幸福感</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630" w:leftChars="3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bookmarkStart w:id="6" w:name="_Hlk122438115"/>
      <w:r>
        <w:rPr>
          <w:rFonts w:hint="eastAsia" w:eastAsia="楷体_GB2312" w:cs="Times New Roman"/>
          <w:color w:val="000000" w:themeColor="text1"/>
          <w:sz w:val="30"/>
          <w:szCs w:val="30"/>
          <w:lang w:eastAsia="zh-CN"/>
          <w14:textFill>
            <w14:solidFill>
              <w14:schemeClr w14:val="tx1"/>
            </w14:solidFill>
          </w14:textFill>
        </w:rPr>
        <w:t>农工党</w:t>
      </w:r>
      <w:r>
        <w:rPr>
          <w:rFonts w:hint="default" w:ascii="Times New Roman" w:hAnsi="Times New Roman" w:eastAsia="楷体_GB2312" w:cs="Times New Roman"/>
          <w:color w:val="000000" w:themeColor="text1"/>
          <w:sz w:val="30"/>
          <w:szCs w:val="30"/>
          <w14:textFill>
            <w14:solidFill>
              <w14:schemeClr w14:val="tx1"/>
            </w14:solidFill>
          </w14:textFill>
        </w:rPr>
        <w:t xml:space="preserve">委员组 </w:t>
      </w:r>
      <w:bookmarkEnd w:id="6"/>
      <w:r>
        <w:rPr>
          <w:rFonts w:hint="default" w:ascii="Times New Roman" w:hAnsi="Times New Roman" w:eastAsia="楷体_GB2312" w:cs="Times New Roman"/>
          <w:color w:val="000000" w:themeColor="text1"/>
          <w:sz w:val="30"/>
          <w:szCs w:val="30"/>
          <w14:textFill>
            <w14:solidFill>
              <w14:schemeClr w14:val="tx1"/>
            </w14:solidFill>
          </w14:textFill>
        </w:rPr>
        <w:t xml:space="preserve"> </w:t>
      </w:r>
      <w:r>
        <w:rPr>
          <w:rFonts w:hint="eastAsia" w:eastAsia="楷体_GB2312" w:cs="Times New Roman"/>
          <w:color w:val="000000" w:themeColor="text1"/>
          <w:sz w:val="30"/>
          <w:szCs w:val="30"/>
          <w:lang w:eastAsia="zh-CN"/>
          <w14:textFill>
            <w14:solidFill>
              <w14:schemeClr w14:val="tx1"/>
            </w14:solidFill>
          </w14:textFill>
        </w:rPr>
        <w:t>罗建桥</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48</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16</w:t>
      </w:r>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全面融入大武汉</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0"/>
          <w:szCs w:val="30"/>
          <w14:textFill>
            <w14:solidFill>
              <w14:schemeClr w14:val="tx1"/>
            </w14:solidFill>
          </w14:textFill>
        </w:rPr>
        <w:t>建设车谷大走廊</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630" w:leftChars="3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长</w:t>
      </w:r>
      <w:r>
        <w:rPr>
          <w:rFonts w:hint="eastAsia" w:ascii="楷体" w:hAnsi="楷体" w:eastAsia="楷体" w:cs="楷体"/>
          <w:color w:val="000000" w:themeColor="text1"/>
          <w:sz w:val="30"/>
          <w:szCs w:val="30"/>
          <w14:textFill>
            <w14:solidFill>
              <w14:schemeClr w14:val="tx1"/>
            </w14:solidFill>
          </w14:textFill>
        </w:rPr>
        <w:t>埫</w:t>
      </w:r>
      <w:r>
        <w:rPr>
          <w:rFonts w:hint="default" w:ascii="Times New Roman" w:hAnsi="Times New Roman" w:eastAsia="楷体_GB2312" w:cs="Times New Roman"/>
          <w:color w:val="000000" w:themeColor="text1"/>
          <w:sz w:val="30"/>
          <w:szCs w:val="30"/>
          <w14:textFill>
            <w14:solidFill>
              <w14:schemeClr w14:val="tx1"/>
            </w14:solidFill>
          </w14:textFill>
        </w:rPr>
        <w:t>口委员组  沈成</w:t>
      </w:r>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52</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17</w:t>
      </w:r>
      <w:bookmarkStart w:id="7" w:name="_Hlk122445012"/>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文明创建要彻底改变“干部干、群众看”现象</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630" w:leftChars="30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bookmarkStart w:id="8" w:name="_Hlk122438372"/>
      <w:r>
        <w:rPr>
          <w:rFonts w:hint="eastAsia" w:ascii="仿宋_GB2312" w:hAnsi="仿宋_GB2312" w:eastAsia="仿宋_GB2312" w:cs="仿宋_GB2312"/>
          <w:color w:val="000000" w:themeColor="text1"/>
          <w:sz w:val="30"/>
          <w:szCs w:val="30"/>
          <w14:textFill>
            <w14:solidFill>
              <w14:schemeClr w14:val="tx1"/>
            </w14:solidFill>
          </w14:textFill>
        </w:rPr>
        <w:t>——</w:t>
      </w:r>
      <w:bookmarkEnd w:id="8"/>
      <w:r>
        <w:rPr>
          <w:rFonts w:hint="eastAsia" w:ascii="仿宋_GB2312" w:hAnsi="仿宋_GB2312" w:eastAsia="仿宋_GB2312" w:cs="仿宋_GB2312"/>
          <w:color w:val="000000" w:themeColor="text1"/>
          <w:sz w:val="30"/>
          <w:szCs w:val="30"/>
          <w14:textFill>
            <w14:solidFill>
              <w14:schemeClr w14:val="tx1"/>
            </w14:solidFill>
          </w14:textFill>
        </w:rPr>
        <w:t>关于运用共同缔造理念，推进文明城市创建的建议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630" w:leftChars="3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宣传委员组  李</w:t>
      </w:r>
      <w:r>
        <w:rPr>
          <w:rFonts w:hint="eastAsia" w:eastAsia="楷体_GB2312" w:cs="Times New Roman"/>
          <w:color w:val="000000" w:themeColor="text1"/>
          <w:sz w:val="30"/>
          <w:szCs w:val="30"/>
          <w:lang w:eastAsia="zh-CN"/>
          <w14:textFill>
            <w14:solidFill>
              <w14:schemeClr w14:val="tx1"/>
            </w14:solidFill>
          </w14:textFill>
        </w:rPr>
        <w:t>炎</w:t>
      </w:r>
      <w:r>
        <w:rPr>
          <w:rFonts w:hint="default" w:ascii="Times New Roman" w:hAnsi="Times New Roman" w:eastAsia="楷体_GB2312" w:cs="Times New Roman"/>
          <w:color w:val="000000" w:themeColor="text1"/>
          <w:sz w:val="30"/>
          <w:szCs w:val="30"/>
          <w14:textFill>
            <w14:solidFill>
              <w14:schemeClr w14:val="tx1"/>
            </w14:solidFill>
          </w14:textFill>
        </w:rPr>
        <w:t>焱</w:t>
      </w:r>
      <w:bookmarkEnd w:id="7"/>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55</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18</w:t>
      </w:r>
      <w:bookmarkStart w:id="9" w:name="_Hlk122446026"/>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富民必须强村</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630" w:leftChars="30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——关于促进村集体经济发展的建议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630" w:leftChars="3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杨林尾委员组  王思文</w:t>
      </w:r>
      <w:bookmarkEnd w:id="9"/>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58</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19</w:t>
      </w:r>
      <w:bookmarkStart w:id="10" w:name="_Hlk122446437"/>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百姓呼吁仙桃什么时候才能实现“掌上办”？</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630" w:leftChars="30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bookmarkStart w:id="11" w:name="_Hlk122438593"/>
      <w:r>
        <w:rPr>
          <w:rFonts w:hint="eastAsia" w:ascii="仿宋_GB2312" w:hAnsi="仿宋_GB2312" w:eastAsia="仿宋_GB2312" w:cs="仿宋_GB2312"/>
          <w:color w:val="000000" w:themeColor="text1"/>
          <w:sz w:val="30"/>
          <w:szCs w:val="30"/>
          <w14:textFill>
            <w14:solidFill>
              <w14:schemeClr w14:val="tx1"/>
            </w14:solidFill>
          </w14:textFill>
        </w:rPr>
        <w:t>——</w:t>
      </w:r>
      <w:bookmarkEnd w:id="11"/>
      <w:r>
        <w:rPr>
          <w:rFonts w:hint="eastAsia" w:ascii="仿宋_GB2312" w:hAnsi="仿宋_GB2312" w:eastAsia="仿宋_GB2312" w:cs="仿宋_GB2312"/>
          <w:color w:val="000000" w:themeColor="text1"/>
          <w:sz w:val="30"/>
          <w:szCs w:val="30"/>
          <w14:textFill>
            <w14:solidFill>
              <w14:schemeClr w14:val="tx1"/>
            </w14:solidFill>
          </w14:textFill>
        </w:rPr>
        <w:t>关于进一步加强数字政府建设助力营商环境的建议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630" w:leftChars="3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 xml:space="preserve">财贸委员组  </w:t>
      </w:r>
      <w:r>
        <w:rPr>
          <w:rFonts w:hint="eastAsia" w:eastAsia="楷体_GB2312" w:cs="Times New Roman"/>
          <w:color w:val="000000" w:themeColor="text1"/>
          <w:sz w:val="30"/>
          <w:szCs w:val="30"/>
          <w:lang w:eastAsia="zh-CN"/>
          <w14:textFill>
            <w14:solidFill>
              <w14:schemeClr w14:val="tx1"/>
            </w14:solidFill>
          </w14:textFill>
        </w:rPr>
        <w:t>黄书恺</w:t>
      </w:r>
      <w:bookmarkEnd w:id="10"/>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61</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default" w:ascii="Times New Roman" w:hAnsi="Times New Roman" w:eastAsia="楷体_GB2312" w:cs="Times New Roman"/>
          <w:color w:val="000000" w:themeColor="text1"/>
          <w:sz w:val="30"/>
          <w:szCs w:val="30"/>
          <w14:textFill>
            <w14:solidFill>
              <w14:schemeClr w14:val="tx1"/>
            </w14:solidFill>
          </w14:textFill>
        </w:rPr>
        <w:t>20</w:t>
      </w:r>
      <w:bookmarkStart w:id="12" w:name="_Hlk122446605"/>
      <w:r>
        <w:rPr>
          <w:rFonts w:hint="eastAsia" w:eastAsia="楷体_GB2312" w:cs="Times New Roman"/>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我为打造仙桃服装精品说两句</w:t>
      </w:r>
    </w:p>
    <w:p>
      <w:pPr>
        <w:keepNext w:val="0"/>
        <w:keepLines w:val="0"/>
        <w:pageBreakBefore w:val="0"/>
        <w:widowControl w:val="0"/>
        <w:shd w:val="clear"/>
        <w:tabs>
          <w:tab w:val="right" w:leader="middleDot" w:pos="8295"/>
        </w:tabs>
        <w:kinsoku/>
        <w:wordWrap/>
        <w:overflowPunct/>
        <w:topLinePunct w:val="0"/>
        <w:autoSpaceDE/>
        <w:autoSpaceDN/>
        <w:bidi w:val="0"/>
        <w:adjustRightInd/>
        <w:snapToGrid/>
        <w:spacing w:line="560" w:lineRule="exact"/>
        <w:ind w:left="630" w:leftChars="300" w:firstLine="0" w:firstLineChars="0"/>
        <w:jc w:val="both"/>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——关于推动仙西服装集聚区高质量发展的建议</w:t>
      </w:r>
    </w:p>
    <w:p>
      <w:pPr>
        <w:pStyle w:val="11"/>
        <w:keepNext w:val="0"/>
        <w:keepLines w:val="0"/>
        <w:pageBreakBefore w:val="0"/>
        <w:widowControl w:val="0"/>
        <w:shd w:val="clear"/>
        <w:tabs>
          <w:tab w:val="right" w:leader="middleDot" w:pos="8295"/>
          <w:tab w:val="right" w:leader="dot" w:pos="8504"/>
        </w:tabs>
        <w:kinsoku/>
        <w:wordWrap/>
        <w:overflowPunct/>
        <w:topLinePunct w:val="0"/>
        <w:autoSpaceDE/>
        <w:autoSpaceDN/>
        <w:bidi w:val="0"/>
        <w:adjustRightInd/>
        <w:snapToGrid/>
        <w:spacing w:line="560" w:lineRule="exact"/>
        <w:ind w:left="630" w:leftChars="300" w:firstLine="0" w:firstLineChars="0"/>
        <w:jc w:val="both"/>
        <w:textAlignment w:val="auto"/>
        <w:rPr>
          <w:rFonts w:hint="default" w:ascii="Times New Roman" w:hAnsi="Times New Roman" w:eastAsia="楷体_GB2312" w:cs="Times New Roman"/>
          <w:color w:val="000000" w:themeColor="text1"/>
          <w:sz w:val="30"/>
          <w:szCs w:val="30"/>
          <w:lang w:val="en-US" w:eastAsia="zh-CN"/>
          <w14:textFill>
            <w14:solidFill>
              <w14:schemeClr w14:val="tx1"/>
            </w14:solidFill>
          </w14:textFill>
        </w:rPr>
      </w:pPr>
      <w:r>
        <w:rPr>
          <w:rFonts w:hint="eastAsia" w:eastAsia="楷体_GB2312" w:cs="Times New Roman"/>
          <w:color w:val="000000" w:themeColor="text1"/>
          <w:sz w:val="30"/>
          <w:szCs w:val="30"/>
          <w:lang w:eastAsia="zh-CN"/>
          <w14:textFill>
            <w14:solidFill>
              <w14:schemeClr w14:val="tx1"/>
            </w14:solidFill>
          </w14:textFill>
        </w:rPr>
        <w:t>对外友好</w:t>
      </w:r>
      <w:r>
        <w:rPr>
          <w:rFonts w:hint="default" w:ascii="Times New Roman" w:hAnsi="Times New Roman" w:eastAsia="楷体_GB2312" w:cs="Times New Roman"/>
          <w:color w:val="000000" w:themeColor="text1"/>
          <w:sz w:val="30"/>
          <w:szCs w:val="30"/>
          <w14:textFill>
            <w14:solidFill>
              <w14:schemeClr w14:val="tx1"/>
            </w14:solidFill>
          </w14:textFill>
        </w:rPr>
        <w:t>委员组  邓志刚</w:t>
      </w:r>
      <w:bookmarkEnd w:id="12"/>
      <w:r>
        <w:rPr>
          <w:rFonts w:hint="eastAsia" w:eastAsia="楷体_GB2312" w:cs="Times New Roman"/>
          <w:color w:val="000000" w:themeColor="text1"/>
          <w:sz w:val="30"/>
          <w:szCs w:val="30"/>
          <w:lang w:val="en-US" w:eastAsia="zh-CN"/>
          <w14:textFill>
            <w14:solidFill>
              <w14:schemeClr w14:val="tx1"/>
            </w14:solidFill>
          </w14:textFill>
        </w:rPr>
        <w:tab/>
      </w:r>
      <w:r>
        <w:rPr>
          <w:rFonts w:hint="eastAsia" w:eastAsia="楷体_GB2312" w:cs="Times New Roman"/>
          <w:color w:val="000000" w:themeColor="text1"/>
          <w:sz w:val="30"/>
          <w:szCs w:val="30"/>
          <w:lang w:val="en-US" w:eastAsia="zh-CN"/>
          <w14:textFill>
            <w14:solidFill>
              <w14:schemeClr w14:val="tx1"/>
            </w14:solidFill>
          </w14:textFill>
        </w:rPr>
        <w:t>64</w:t>
      </w:r>
    </w:p>
    <w:p>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default"/>
          <w:color w:val="000000" w:themeColor="text1"/>
          <w:sz w:val="30"/>
          <w:szCs w:val="30"/>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default"/>
          <w:color w:val="000000" w:themeColor="text1"/>
          <w:sz w:val="30"/>
          <w:szCs w:val="30"/>
          <w14:textFill>
            <w14:solidFill>
              <w14:schemeClr w14:val="tx1"/>
            </w14:solidFill>
          </w14:textFill>
        </w:rPr>
      </w:pPr>
    </w:p>
    <w:p>
      <w:pPr>
        <w:shd w:val="clear"/>
        <w:bidi w:val="0"/>
        <w:rPr>
          <w:rFonts w:hint="default"/>
          <w:color w:val="000000" w:themeColor="text1"/>
          <w:sz w:val="30"/>
          <w:szCs w:val="30"/>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sectPr>
          <w:pgSz w:w="11906" w:h="16838"/>
          <w:pgMar w:top="1701" w:right="1800" w:bottom="1701" w:left="1800" w:header="851" w:footer="1361" w:gutter="0"/>
          <w:pgBorders>
            <w:top w:val="none" w:sz="0" w:space="0"/>
            <w:left w:val="none" w:sz="0" w:space="0"/>
            <w:bottom w:val="none" w:sz="0" w:space="0"/>
            <w:right w:val="none" w:sz="0" w:space="0"/>
          </w:pgBorders>
          <w:cols w:space="0" w:num="1"/>
          <w:rtlGutter w:val="0"/>
          <w:docGrid w:type="lines" w:linePitch="312" w:charSpace="0"/>
        </w:sectPr>
      </w:pPr>
    </w:p>
    <w:p>
      <w:pPr>
        <w:keepNext w:val="0"/>
        <w:keepLines w:val="0"/>
        <w:pageBreakBefore w:val="0"/>
        <w:widowControl w:val="0"/>
        <w:shd w:val="clear"/>
        <w:kinsoku/>
        <w:wordWrap/>
        <w:overflowPunct/>
        <w:topLinePunct w:val="0"/>
        <w:autoSpaceDE/>
        <w:autoSpaceDN/>
        <w:bidi w:val="0"/>
        <w:adjustRightInd/>
        <w:snapToGrid/>
        <w:spacing w:before="0" w:after="0" w:line="560" w:lineRule="exact"/>
        <w:ind w:firstLine="640" w:firstLineChars="200"/>
        <w:jc w:val="both"/>
        <w:textAlignment w:val="auto"/>
        <w:outlineLvl w:val="9"/>
        <w:rPr>
          <w:rFonts w:hint="default" w:ascii="Times New Roman" w:hAnsi="Times New Roman" w:eastAsia="宋体"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Cs/>
          <w:caps w:val="0"/>
          <w:color w:val="000000" w:themeColor="text1"/>
          <w:spacing w:val="-17"/>
          <w:w w:val="95"/>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Cs/>
          <w:caps w:val="0"/>
          <w:color w:val="000000" w:themeColor="text1"/>
          <w:spacing w:val="-17"/>
          <w:w w:val="95"/>
          <w:sz w:val="44"/>
          <w:szCs w:val="44"/>
          <w:lang w:val="en-US" w:eastAsia="zh-CN" w:bidi="ar-SA"/>
          <w14:textFill>
            <w14:solidFill>
              <w14:schemeClr w14:val="tx1"/>
            </w14:solidFill>
          </w14:textFill>
        </w:rPr>
        <w:t>发展现代农业  为挺进五十强培育最优“潜力股”</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——关于加快我市农业农村现代化建设的建议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农林水委员组  丁斌</w:t>
      </w:r>
    </w:p>
    <w:p>
      <w:pPr>
        <w:keepNext w:val="0"/>
        <w:keepLines w:val="0"/>
        <w:pageBreakBefore w:val="0"/>
        <w:widowControl w:val="0"/>
        <w:shd w:val="clear"/>
        <w:kinsoku/>
        <w:wordWrap/>
        <w:overflowPunct/>
        <w:topLinePunct w:val="0"/>
        <w:autoSpaceDE/>
        <w:autoSpaceDN/>
        <w:bidi w:val="0"/>
        <w:adjustRightInd/>
        <w:snapToGrid/>
        <w:spacing w:before="0" w:after="0"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仙桃历来是湖北农业大市，全国重要的粮、棉、油、猪、鱼、蛋重要生产基地，农业一直是仙桃经济发展的主力军和压舱石。上世纪九十年代初以来，由于民营经济的快速崛起，加上新兴制造业的强势发展，农业在全市国民经济占比逐年降低</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以统计数据看，2021年，</w:t>
      </w:r>
      <w:r>
        <w:rPr>
          <w:rFonts w:hint="eastAsia" w:eastAsia="仿宋_GB2312" w:cs="Times New Roman"/>
          <w:color w:val="000000" w:themeColor="text1"/>
          <w:spacing w:val="0"/>
          <w:sz w:val="32"/>
          <w:szCs w:val="32"/>
          <w:lang w:eastAsia="zh-CN"/>
          <w14:textFill>
            <w14:solidFill>
              <w14:schemeClr w14:val="tx1"/>
            </w14:solidFill>
          </w14:textFill>
        </w:rPr>
        <w:t>全市</w:t>
      </w:r>
      <w:r>
        <w:rPr>
          <w:rFonts w:hint="default" w:ascii="Times New Roman" w:hAnsi="Times New Roman" w:eastAsia="仿宋_GB2312" w:cs="Times New Roman"/>
          <w:color w:val="000000" w:themeColor="text1"/>
          <w:spacing w:val="0"/>
          <w:sz w:val="32"/>
          <w:szCs w:val="32"/>
          <w14:textFill>
            <w14:solidFill>
              <w14:schemeClr w14:val="tx1"/>
            </w14:solidFill>
          </w14:textFill>
        </w:rPr>
        <w:t>三次产业结构为12.8：42.7：44.5</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虽然</w:t>
      </w:r>
      <w:r>
        <w:rPr>
          <w:rFonts w:hint="eastAsia" w:eastAsia="仿宋_GB2312" w:cs="Times New Roman"/>
          <w:color w:val="000000" w:themeColor="text1"/>
          <w:spacing w:val="0"/>
          <w:sz w:val="32"/>
          <w:szCs w:val="32"/>
          <w:lang w:val="en-US" w:eastAsia="zh-CN"/>
          <w14:textFill>
            <w14:solidFill>
              <w14:schemeClr w14:val="tx1"/>
            </w14:solidFill>
          </w14:textFill>
        </w:rPr>
        <w:t>2021年</w:t>
      </w:r>
      <w:r>
        <w:rPr>
          <w:rFonts w:hint="default" w:ascii="Times New Roman" w:hAnsi="Times New Roman" w:eastAsia="仿宋_GB2312" w:cs="Times New Roman"/>
          <w:color w:val="000000" w:themeColor="text1"/>
          <w:spacing w:val="0"/>
          <w:sz w:val="32"/>
          <w:szCs w:val="32"/>
          <w14:textFill>
            <w14:solidFill>
              <w14:schemeClr w14:val="tx1"/>
            </w14:solidFill>
          </w14:textFill>
        </w:rPr>
        <w:t>农业</w:t>
      </w:r>
      <w:r>
        <w:rPr>
          <w:rFonts w:hint="eastAsia" w:eastAsia="仿宋_GB2312" w:cs="Times New Roman"/>
          <w:color w:val="000000" w:themeColor="text1"/>
          <w:spacing w:val="0"/>
          <w:sz w:val="32"/>
          <w:szCs w:val="32"/>
          <w:lang w:eastAsia="zh-CN"/>
          <w14:textFill>
            <w14:solidFill>
              <w14:schemeClr w14:val="tx1"/>
            </w14:solidFill>
          </w14:textFill>
        </w:rPr>
        <w:t>增加值</w:t>
      </w:r>
      <w:r>
        <w:rPr>
          <w:rFonts w:hint="eastAsia" w:eastAsia="仿宋_GB2312" w:cs="Times New Roman"/>
          <w:color w:val="000000" w:themeColor="text1"/>
          <w:spacing w:val="0"/>
          <w:sz w:val="32"/>
          <w:szCs w:val="32"/>
          <w:lang w:val="en-US" w:eastAsia="zh-CN"/>
          <w14:textFill>
            <w14:solidFill>
              <w14:schemeClr w14:val="tx1"/>
            </w14:solidFill>
          </w14:textFill>
        </w:rPr>
        <w:t>123.44亿元</w:t>
      </w:r>
      <w:r>
        <w:rPr>
          <w:rFonts w:hint="default" w:ascii="Times New Roman" w:hAnsi="Times New Roman" w:eastAsia="仿宋_GB2312" w:cs="Times New Roman"/>
          <w:color w:val="000000" w:themeColor="text1"/>
          <w:spacing w:val="0"/>
          <w:sz w:val="32"/>
          <w:szCs w:val="32"/>
          <w14:textFill>
            <w14:solidFill>
              <w14:schemeClr w14:val="tx1"/>
            </w14:solidFill>
          </w14:textFill>
        </w:rPr>
        <w:t>较1999年</w:t>
      </w:r>
      <w:r>
        <w:rPr>
          <w:rFonts w:hint="eastAsia" w:eastAsia="仿宋_GB2312" w:cs="Times New Roman"/>
          <w:color w:val="000000" w:themeColor="text1"/>
          <w:spacing w:val="0"/>
          <w:sz w:val="32"/>
          <w:szCs w:val="32"/>
          <w:lang w:val="en-US" w:eastAsia="zh-CN"/>
          <w14:textFill>
            <w14:solidFill>
              <w14:schemeClr w14:val="tx1"/>
            </w14:solidFill>
          </w14:textFill>
        </w:rPr>
        <w:t>21.89</w:t>
      </w:r>
      <w:r>
        <w:rPr>
          <w:rFonts w:hint="default" w:ascii="Times New Roman" w:hAnsi="Times New Roman" w:eastAsia="仿宋_GB2312" w:cs="Times New Roman"/>
          <w:color w:val="000000" w:themeColor="text1"/>
          <w:spacing w:val="0"/>
          <w:sz w:val="32"/>
          <w:szCs w:val="32"/>
          <w14:textFill>
            <w14:solidFill>
              <w14:schemeClr w14:val="tx1"/>
            </w14:solidFill>
          </w14:textFill>
        </w:rPr>
        <w:t>亿元</w:t>
      </w:r>
      <w:r>
        <w:rPr>
          <w:rFonts w:hint="eastAsia" w:eastAsia="仿宋_GB2312" w:cs="Times New Roman"/>
          <w:color w:val="000000" w:themeColor="text1"/>
          <w:spacing w:val="0"/>
          <w:sz w:val="32"/>
          <w:szCs w:val="32"/>
          <w:lang w:eastAsia="zh-CN"/>
          <w14:textFill>
            <w14:solidFill>
              <w14:schemeClr w14:val="tx1"/>
            </w14:solidFill>
          </w14:textFill>
        </w:rPr>
        <w:t>保持较快</w:t>
      </w:r>
      <w:r>
        <w:rPr>
          <w:rFonts w:hint="default" w:ascii="Times New Roman" w:hAnsi="Times New Roman" w:eastAsia="仿宋_GB2312" w:cs="Times New Roman"/>
          <w:color w:val="000000" w:themeColor="text1"/>
          <w:spacing w:val="0"/>
          <w:sz w:val="32"/>
          <w:szCs w:val="32"/>
          <w14:textFill>
            <w14:solidFill>
              <w14:schemeClr w14:val="tx1"/>
            </w14:solidFill>
          </w14:textFill>
        </w:rPr>
        <w:t>增长，但全</w:t>
      </w:r>
      <w:r>
        <w:rPr>
          <w:rFonts w:hint="eastAsia" w:eastAsia="仿宋_GB2312" w:cs="Times New Roman"/>
          <w:color w:val="000000" w:themeColor="text1"/>
          <w:spacing w:val="0"/>
          <w:sz w:val="32"/>
          <w:szCs w:val="32"/>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14:textFill>
            <w14:solidFill>
              <w14:schemeClr w14:val="tx1"/>
            </w14:solidFill>
          </w14:textFill>
        </w:rPr>
        <w:t>经济增长对农业依存度已经相对较弱。农业作为重要</w:t>
      </w:r>
      <w:r>
        <w:rPr>
          <w:rFonts w:hint="eastAsia" w:eastAsia="仿宋_GB2312" w:cs="Times New Roman"/>
          <w:color w:val="000000" w:themeColor="text1"/>
          <w:spacing w:val="0"/>
          <w:sz w:val="32"/>
          <w:szCs w:val="32"/>
          <w:lang w:eastAsia="zh-CN"/>
          <w14:textFill>
            <w14:solidFill>
              <w14:schemeClr w14:val="tx1"/>
            </w14:solidFill>
          </w14:textFill>
        </w:rPr>
        <w:t>的</w:t>
      </w:r>
      <w:r>
        <w:rPr>
          <w:rFonts w:hint="default" w:ascii="Times New Roman" w:hAnsi="Times New Roman" w:eastAsia="仿宋_GB2312" w:cs="Times New Roman"/>
          <w:color w:val="000000" w:themeColor="text1"/>
          <w:spacing w:val="0"/>
          <w:sz w:val="32"/>
          <w:szCs w:val="32"/>
          <w14:textFill>
            <w14:solidFill>
              <w14:schemeClr w14:val="tx1"/>
            </w14:solidFill>
          </w14:textFill>
        </w:rPr>
        <w:t>民生产业，关系着全市60多万农民的切身利益，受农业发展</w:t>
      </w:r>
      <w:r>
        <w:rPr>
          <w:rFonts w:hint="eastAsia" w:eastAsia="仿宋_GB2312" w:cs="Times New Roman"/>
          <w:color w:val="000000" w:themeColor="text1"/>
          <w:spacing w:val="0"/>
          <w:sz w:val="32"/>
          <w:szCs w:val="32"/>
          <w:lang w:eastAsia="zh-CN"/>
          <w14:textFill>
            <w14:solidFill>
              <w14:schemeClr w14:val="tx1"/>
            </w14:solidFill>
          </w14:textFill>
        </w:rPr>
        <w:t>相对</w:t>
      </w:r>
      <w:r>
        <w:rPr>
          <w:rFonts w:hint="default" w:ascii="Times New Roman" w:hAnsi="Times New Roman" w:eastAsia="仿宋_GB2312" w:cs="Times New Roman"/>
          <w:color w:val="000000" w:themeColor="text1"/>
          <w:spacing w:val="0"/>
          <w:sz w:val="32"/>
          <w:szCs w:val="32"/>
          <w14:textFill>
            <w14:solidFill>
              <w14:schemeClr w14:val="tx1"/>
            </w14:solidFill>
          </w14:textFill>
        </w:rPr>
        <w:t>滞后影响，农村</w:t>
      </w:r>
      <w:r>
        <w:rPr>
          <w:rFonts w:hint="eastAsia" w:eastAsia="仿宋_GB2312" w:cs="Times New Roman"/>
          <w:color w:val="000000" w:themeColor="text1"/>
          <w:spacing w:val="0"/>
          <w:sz w:val="32"/>
          <w:szCs w:val="32"/>
          <w:lang w:eastAsia="zh-CN"/>
          <w14:textFill>
            <w14:solidFill>
              <w14:schemeClr w14:val="tx1"/>
            </w14:solidFill>
          </w14:textFill>
        </w:rPr>
        <w:t>居民</w:t>
      </w:r>
      <w:r>
        <w:rPr>
          <w:rFonts w:hint="default" w:ascii="Times New Roman" w:hAnsi="Times New Roman" w:eastAsia="仿宋_GB2312" w:cs="Times New Roman"/>
          <w:color w:val="000000" w:themeColor="text1"/>
          <w:spacing w:val="0"/>
          <w:sz w:val="32"/>
          <w:szCs w:val="32"/>
          <w14:textFill>
            <w14:solidFill>
              <w14:schemeClr w14:val="tx1"/>
            </w14:solidFill>
          </w14:textFill>
        </w:rPr>
        <w:t>年人均可支配收入</w:t>
      </w:r>
      <w:r>
        <w:rPr>
          <w:rFonts w:hint="eastAsia" w:eastAsia="仿宋_GB2312" w:cs="Times New Roman"/>
          <w:color w:val="000000" w:themeColor="text1"/>
          <w:spacing w:val="0"/>
          <w:sz w:val="32"/>
          <w:szCs w:val="32"/>
          <w:lang w:eastAsia="zh-CN"/>
          <w14:textFill>
            <w14:solidFill>
              <w14:schemeClr w14:val="tx1"/>
            </w14:solidFill>
          </w14:textFill>
        </w:rPr>
        <w:t>和增长幅度</w:t>
      </w:r>
      <w:r>
        <w:rPr>
          <w:rFonts w:hint="default" w:ascii="Times New Roman" w:hAnsi="Times New Roman" w:eastAsia="仿宋_GB2312" w:cs="Times New Roman"/>
          <w:color w:val="000000" w:themeColor="text1"/>
          <w:spacing w:val="0"/>
          <w:sz w:val="32"/>
          <w:szCs w:val="32"/>
          <w14:textFill>
            <w14:solidFill>
              <w14:schemeClr w14:val="tx1"/>
            </w14:solidFill>
          </w14:textFill>
        </w:rPr>
        <w:t>多年持续低于城镇人口，长此以往既不利于共同富裕的实现，也无法从根本上打破城</w:t>
      </w:r>
      <w:r>
        <w:rPr>
          <w:rFonts w:hint="eastAsia" w:eastAsia="仿宋_GB2312" w:cs="Times New Roman"/>
          <w:color w:val="000000" w:themeColor="text1"/>
          <w:spacing w:val="0"/>
          <w:sz w:val="32"/>
          <w:szCs w:val="32"/>
          <w:lang w:eastAsia="zh-CN"/>
          <w14:textFill>
            <w14:solidFill>
              <w14:schemeClr w14:val="tx1"/>
            </w14:solidFill>
          </w14:textFill>
        </w:rPr>
        <w:t>乡</w:t>
      </w:r>
      <w:r>
        <w:rPr>
          <w:rFonts w:hint="default" w:ascii="Times New Roman" w:hAnsi="Times New Roman" w:eastAsia="仿宋_GB2312" w:cs="Times New Roman"/>
          <w:color w:val="000000" w:themeColor="text1"/>
          <w:spacing w:val="0"/>
          <w:sz w:val="32"/>
          <w:szCs w:val="32"/>
          <w14:textFill>
            <w14:solidFill>
              <w14:schemeClr w14:val="tx1"/>
            </w14:solidFill>
          </w14:textFill>
        </w:rPr>
        <w:t>二元结构。省第十二次党代会为仙桃擎画了建设四化同步发展示范区的</w:t>
      </w:r>
      <w:r>
        <w:rPr>
          <w:rFonts w:hint="eastAsia" w:eastAsia="仿宋_GB2312" w:cs="Times New Roman"/>
          <w:color w:val="000000" w:themeColor="text1"/>
          <w:spacing w:val="0"/>
          <w:sz w:val="32"/>
          <w:szCs w:val="32"/>
          <w:lang w:eastAsia="zh-CN"/>
          <w14:textFill>
            <w14:solidFill>
              <w14:schemeClr w14:val="tx1"/>
            </w14:solidFill>
          </w14:textFill>
        </w:rPr>
        <w:t>宏</w:t>
      </w:r>
      <w:r>
        <w:rPr>
          <w:rFonts w:hint="default" w:ascii="Times New Roman" w:hAnsi="Times New Roman" w:eastAsia="仿宋_GB2312" w:cs="Times New Roman"/>
          <w:color w:val="000000" w:themeColor="text1"/>
          <w:spacing w:val="0"/>
          <w:sz w:val="32"/>
          <w:szCs w:val="32"/>
          <w14:textFill>
            <w14:solidFill>
              <w14:schemeClr w14:val="tx1"/>
            </w14:solidFill>
          </w14:textFill>
        </w:rPr>
        <w:t>伟目标</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四化同步</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发展基础在农业现代化，突破口在农业现代化</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而对于仙桃面临发展实际而言，只有做强现代农业，才能为加快发展</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加速赶超培育新引擎、新动能，从而为“挺进五十强”增添后劲，为建设现代化强市再造新优势，为仙桃可持续高质量发展培育最优“潜力股”，因此，我们建议</w:t>
      </w:r>
      <w:r>
        <w:rPr>
          <w:rFonts w:hint="eastAsia" w:eastAsia="仿宋_GB2312" w:cs="Times New Roman"/>
          <w:color w:val="000000" w:themeColor="text1"/>
          <w:spacing w:val="0"/>
          <w:sz w:val="32"/>
          <w:szCs w:val="32"/>
          <w:lang w:eastAsia="zh-CN"/>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1</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w:t>
      </w:r>
      <w:r>
        <w:rPr>
          <w:rFonts w:hint="default" w:ascii="楷体_GB2312" w:hAnsi="楷体_GB2312" w:eastAsia="楷体_GB2312" w:cs="楷体_GB2312"/>
          <w:color w:val="000000" w:themeColor="text1"/>
          <w:sz w:val="32"/>
          <w:szCs w:val="32"/>
          <w:lang w:val="en-US" w:eastAsia="zh-CN"/>
          <w14:textFill>
            <w14:solidFill>
              <w14:schemeClr w14:val="tx1"/>
            </w14:solidFill>
          </w14:textFill>
        </w:rPr>
        <w:t>推动农业生产手段现代化。</w:t>
      </w:r>
      <w:r>
        <w:rPr>
          <w:rFonts w:hint="default" w:ascii="Times New Roman" w:hAnsi="Times New Roman" w:eastAsia="仿宋_GB2312" w:cs="Times New Roman"/>
          <w:color w:val="000000" w:themeColor="text1"/>
          <w:spacing w:val="0"/>
          <w:sz w:val="32"/>
          <w:szCs w:val="32"/>
          <w14:textFill>
            <w14:solidFill>
              <w14:schemeClr w14:val="tx1"/>
            </w14:solidFill>
          </w14:textFill>
        </w:rPr>
        <w:t>大力发展现代设施农业，加快发展智慧农业，建设数字田园和智慧农场。加大科技投入，整合第三次土壤普查数据、农机北斗数据、农产品安全，以及仙桃香米、仙桃黄鳝环境监测和智慧种养数据等信息，逐步建立可追溯的数字化智能化系统，实现耕、种（养）、管、收全过程的自动化，让农业生产有大脑、生长有智慧、销售有追溯。</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2.推动农业基础设施现代化。</w:t>
      </w:r>
      <w:r>
        <w:rPr>
          <w:rFonts w:hint="default" w:ascii="Times New Roman" w:hAnsi="Times New Roman" w:eastAsia="仿宋_GB2312" w:cs="Times New Roman"/>
          <w:color w:val="000000" w:themeColor="text1"/>
          <w:spacing w:val="0"/>
          <w:sz w:val="32"/>
          <w:szCs w:val="32"/>
          <w14:textFill>
            <w14:solidFill>
              <w14:schemeClr w14:val="tx1"/>
            </w14:solidFill>
          </w14:textFill>
        </w:rPr>
        <w:t>以拓展农业多种功能、发掘乡村多元价值为方向，融合农文旅、贯通产加销，推进农村一二三产业融合发展。加强农产品产地仓储保鲜冷链物流设施建设，加快农村电子商务发展。依托田园风光、乡土文化、民俗风情等资源优势，推动农业与旅游、教育、康养等产业融合，发展田园养生、研学科普、民宿康养等休闲农业新业态。建设现代农业产业园、农业产业强镇、优势特色产业集群等园区，推进沿东荆河农业现代化示范区创建，促进产镇融合、产村融合。</w:t>
      </w:r>
      <w:bookmarkStart w:id="13" w:name="_Toc24151"/>
      <w:bookmarkStart w:id="14" w:name="_Toc2674"/>
      <w:bookmarkStart w:id="15" w:name="_Toc9897"/>
      <w:bookmarkStart w:id="16" w:name="_Toc5853"/>
      <w:bookmarkStart w:id="17" w:name="_Toc9228"/>
      <w:r>
        <w:rPr>
          <w:rFonts w:hint="default" w:ascii="Times New Roman" w:hAnsi="Times New Roman" w:eastAsia="仿宋_GB2312" w:cs="Times New Roman"/>
          <w:color w:val="000000" w:themeColor="text1"/>
          <w:spacing w:val="0"/>
          <w:sz w:val="32"/>
          <w:szCs w:val="32"/>
          <w14:textFill>
            <w14:solidFill>
              <w14:schemeClr w14:val="tx1"/>
            </w14:solidFill>
          </w14:textFill>
        </w:rPr>
        <w:t>持续推进高标准农田建设</w:t>
      </w:r>
      <w:bookmarkEnd w:id="13"/>
      <w:bookmarkEnd w:id="14"/>
      <w:bookmarkEnd w:id="15"/>
      <w:bookmarkEnd w:id="16"/>
      <w:bookmarkEnd w:id="17"/>
      <w:r>
        <w:rPr>
          <w:rFonts w:hint="default" w:ascii="Times New Roman" w:hAnsi="Times New Roman" w:eastAsia="仿宋_GB2312" w:cs="Times New Roman"/>
          <w:color w:val="000000" w:themeColor="text1"/>
          <w:spacing w:val="0"/>
          <w:sz w:val="32"/>
          <w:szCs w:val="32"/>
          <w14:textFill>
            <w14:solidFill>
              <w14:schemeClr w14:val="tx1"/>
            </w14:solidFill>
          </w14:textFill>
        </w:rPr>
        <w:t>，推行镇村二级沟长、渠长，加强沟渠管护。</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3.推动农业生产环境现代化。</w:t>
      </w:r>
      <w:r>
        <w:rPr>
          <w:rFonts w:hint="default" w:ascii="Times New Roman" w:hAnsi="Times New Roman" w:eastAsia="仿宋_GB2312" w:cs="Times New Roman"/>
          <w:color w:val="000000" w:themeColor="text1"/>
          <w:spacing w:val="0"/>
          <w:sz w:val="32"/>
          <w:szCs w:val="32"/>
          <w14:textFill>
            <w14:solidFill>
              <w14:schemeClr w14:val="tx1"/>
            </w14:solidFill>
          </w14:textFill>
        </w:rPr>
        <w:t>采用“绿色、环保、无公害、有机”种植模式，彻底解决农业面源污染问题，构建人与自然和谐共生的农业发展新格局。推进化肥农药减量增效，促进畜禽粪污、秸秆、废旧农膜资源化利用，净化产地环境。实施好长江十年禁渔工程，推进汉江、东荆河区域生态环境保护。深入推进农业品种培优、品质提升、品牌打造和标准化生产，提升农村生态系统碳汇能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4.推动农业劳动主体现代化。</w:t>
      </w:r>
      <w:r>
        <w:rPr>
          <w:rFonts w:hint="default" w:ascii="Times New Roman" w:hAnsi="Times New Roman" w:eastAsia="仿宋_GB2312" w:cs="Times New Roman"/>
          <w:color w:val="000000" w:themeColor="text1"/>
          <w:spacing w:val="0"/>
          <w:sz w:val="32"/>
          <w:szCs w:val="32"/>
          <w14:textFill>
            <w14:solidFill>
              <w14:schemeClr w14:val="tx1"/>
            </w14:solidFill>
          </w14:textFill>
        </w:rPr>
        <w:t>重点围绕种苗繁殖、农业经营以及高新技术农业生产基地打造等方面，在政策上给予支持和引导，不断优化农业产业化人员结构，吸引有知识、有能力的年轻人返乡创业。以中垦锦绣华农为龙头，创建现代种业产业园，集中力量破难题、补短板、强优势，推动现代种业产业链做优做强。紧紧围绕“1+4”重点农业产业链“产、加、销、服”四个环节，开展土地大流转、主体大招培、产业大融合招商活动，培育年产值过10亿元的龙头企业，解决全市龙头企业量多不优的问题。驰而不息围绕“一粒米、一条鱼”做大做强做响“仙桃香米”和“仙桃黄鳝”两大农业品牌。巩固和完善农村基本经营制度，健全农业社会化服务体系，促进小农户和现代农业发展有机衔接。加大新型职业农民培训力度，以人的现代化促进农业农村现代化。</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5.推动农民美好生活现代化。</w:t>
      </w:r>
      <w:r>
        <w:rPr>
          <w:rFonts w:hint="default" w:ascii="Times New Roman" w:hAnsi="Times New Roman" w:eastAsia="仿宋_GB2312" w:cs="Times New Roman"/>
          <w:color w:val="000000" w:themeColor="text1"/>
          <w:spacing w:val="0"/>
          <w:sz w:val="32"/>
          <w:szCs w:val="32"/>
          <w14:textFill>
            <w14:solidFill>
              <w14:schemeClr w14:val="tx1"/>
            </w14:solidFill>
          </w14:textFill>
        </w:rPr>
        <w:t>要以增加农民收入为根本目的，让农民的物质生活和精神生活更加美好。在传统农业向现代农业转型进程中，要把现代科技、现代经济管理方式融入农业生产，加快农业向现代化的过渡和转移。深入实施“红色头雁”工程和“大学生村干部千人计划”，不断增强农村基层党组织的创造力、凝聚力和战斗力。扎实开展共同缔造活动，以点带面，推动美丽乡村建设。</w:t>
      </w:r>
      <w:bookmarkStart w:id="18" w:name="_Toc112075264"/>
      <w:bookmarkStart w:id="19" w:name="_Toc111215371"/>
      <w:r>
        <w:rPr>
          <w:rFonts w:hint="default" w:ascii="Times New Roman" w:hAnsi="Times New Roman" w:eastAsia="仿宋_GB2312" w:cs="Times New Roman"/>
          <w:color w:val="000000" w:themeColor="text1"/>
          <w:spacing w:val="0"/>
          <w:sz w:val="32"/>
          <w:szCs w:val="32"/>
          <w14:textFill>
            <w14:solidFill>
              <w14:schemeClr w14:val="tx1"/>
            </w14:solidFill>
          </w14:textFill>
        </w:rPr>
        <w:t>加强村庄建设规划，合理实施村庄集并工程，为产业布局赋能。大力推广“三治”融合成功的经验，实现全市行政村乡村治理体系全覆盖。</w:t>
      </w:r>
      <w:bookmarkEnd w:id="18"/>
      <w:bookmarkEnd w:id="19"/>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方正小标宋简体" w:hAnsi="方正小标宋简体" w:eastAsia="方正小标宋简体" w:cs="方正小标宋简体"/>
          <w:bCs/>
          <w:caps w:val="0"/>
          <w:color w:val="000000" w:themeColor="text1"/>
          <w:spacing w:val="-11"/>
          <w:kern w:val="2"/>
          <w:sz w:val="44"/>
          <w:szCs w:val="44"/>
          <w:lang w:val="en-US" w:eastAsia="zh-CN" w:bidi="ar-SA"/>
          <w14:textFill>
            <w14:solidFill>
              <w14:schemeClr w14:val="tx1"/>
            </w14:solidFill>
          </w14:textFill>
        </w:rPr>
      </w:pPr>
      <w:r>
        <w:rPr>
          <w:rFonts w:hint="default" w:ascii="Times New Roman" w:hAnsi="Times New Roman" w:cs="Times New Roman" w:eastAsiaTheme="majorEastAsia"/>
          <w:b/>
          <w:bCs/>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before="0" w:after="0" w:line="560" w:lineRule="exact"/>
        <w:ind w:firstLine="640" w:firstLineChars="200"/>
        <w:jc w:val="both"/>
        <w:textAlignment w:val="auto"/>
        <w:outlineLvl w:val="9"/>
        <w:rPr>
          <w:rFonts w:hint="eastAsia" w:ascii="Times New Roman" w:hAnsi="Times New Roman" w:eastAsia="宋体" w:cs="Times New Roman"/>
          <w:color w:val="000000" w:themeColor="text1"/>
          <w:spacing w:val="0"/>
          <w:sz w:val="32"/>
          <w:szCs w:val="32"/>
          <w:lang w:val="en-US" w:eastAsia="zh-CN"/>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我所理解的共同富裕仙桃样板</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市政协机关委员组  汪洋</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持续推进共同富裕，是全面建设中国式现代化的必然要求，也是仙桃人民对美好生活向往的必然追求。在仙桃这样一个城乡融合发展处于中间环节的湖北首强县推进共同富裕，行动路径必然要基于自身的经济社会实践及国家总体制度设计牵引。</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从“富裕”层面看，2021年，仙桃的人均GDP为83034元,比全国人均GDP80976元高出了2.5个百分点，比全省人均GDP86416元低了3.9个百分点。仙桃的城镇居民人均可支配收入为38681元，低于全省的40278元，低于全国的47412元。仙桃的农村居民人均可支配收入22608元，高于全省的18259元，高于全国的18931元。从“共同”层面看，2021年，仙桃城乡居民人均可支配收入比值为1.71，比全省的2.21和全国的2.50都要低，在国际公认的2.0倍合理范围内。以上两组主要数据对比分析，我们可以发现，仙桃</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农村的富裕程度比全国及全省平均情况要好，城镇的富裕程度比全国及全省平均情况要差。相对而言，仙桃的收入差距并不显著，城乡差距、行业差距、地区差距也不明显。生产力水平偏低</w:t>
      </w:r>
      <w:r>
        <w:rPr>
          <w:rFonts w:hint="eastAsia" w:eastAsia="仿宋_GB2312" w:cs="Times New Roman"/>
          <w:color w:val="000000" w:themeColor="text1"/>
          <w:spacing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发展不够，仍然是我们仙桃全面建成小康社会后的主要矛盾。</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在推进共同富裕过程中，既要充分认识仙桃的现实条件和发展基础，又要清醒看到未来发展中遇到的困难和挑战，这样才能设定更加合理的共同富裕的目标、方向和实现路径。我们建议：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1.准确把握仙桃推进共同富裕的内涵和要求。</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实现共同富裕的长期性、艰巨性和复杂性决定了仙桃实现共同富裕需要较长的时间和过程，不能犯急性子，要循序渐进，逐步实现。对仙桃而言，做大“蛋糕”优先于“分好蛋糕”，实现“富裕”优先于实现“共同”。我们要缩小差别，但不是搞平均主义，共同富裕也不是把差别归零。仙桃实现共同富裕，需要全体仙桃人的共同劳动、共同创造、共同奋斗、共享蛋糕，绝不仅是靠一部分先富起来把蛋糕做出来，然后平均分给不劳而获的人。仙桃的共同富裕应该是整个经济社会高质量发展的结果，是体现新发展理念的共同富裕。</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2.全面确立仙桃推进共同富裕的目标和重点。</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仙桃走向共同富裕的一个基础，也是我们必须达到的一个目标，就是人均GDP要达到2.3万美元以上，接近中等发达国家水平。要想实现上述目标，仙桃需要在未来十年保持8%左右的年均增长速度。因此，在高质量发展中促进共同富裕，从发展环节上探讨实现共同富裕的方法和路径是本、是根。提升仙桃的发展动能，离不开大资本的投入</w:t>
      </w:r>
      <w:r>
        <w:rPr>
          <w:rFonts w:hint="eastAsia" w:eastAsia="仿宋_GB2312" w:cs="Times New Roman"/>
          <w:color w:val="000000" w:themeColor="text1"/>
          <w:spacing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大企业的建设</w:t>
      </w:r>
      <w:r>
        <w:rPr>
          <w:rFonts w:hint="eastAsia" w:eastAsia="仿宋_GB2312" w:cs="Times New Roman"/>
          <w:color w:val="000000" w:themeColor="text1"/>
          <w:spacing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大技术的支撑</w:t>
      </w:r>
      <w:r>
        <w:rPr>
          <w:rFonts w:hint="eastAsia" w:eastAsia="仿宋_GB2312" w:cs="Times New Roman"/>
          <w:color w:val="000000" w:themeColor="text1"/>
          <w:spacing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国际国内大市场的需求以及大系统的配套。仙桃的发展模式要由投资驱动逐步向创新驱动转变，要通过科技创新、制度创新和管理创新做大蛋糕，进一步夯实共同富裕的生产力基础。为了使全体仙桃人民能够共享发展成果，我们要特别注重通过初次分配来扩大中等收入群体，通过二次分配来让低收入家庭过上中等收入生活，让人均GDP的提高可以转化为居民收入的提高。</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作为湖北首强，仙桃</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扎实推进共同富裕，除了需要</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在经济高质量发展上走出一条路来，我们还要在公共服务优质共享、先进文化发展、生态文明建设、社会治理等其它四个领域构建自己的样本。</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3.统筹制订仙桃推进共同富裕的路径和举措。</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共同富裕的重点在农村，难点也在农村。我们要实施“城乡一体化”为引领的城乡深度融合发展战略，将促进共同富裕融入乡村振兴战略、新型城镇化战略和</w:t>
      </w:r>
      <w:r>
        <w:rPr>
          <w:rFonts w:hint="eastAsia" w:eastAsia="仿宋_GB2312" w:cs="Times New Roman"/>
          <w:color w:val="000000" w:themeColor="text1"/>
          <w:spacing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四化同步</w:t>
      </w:r>
      <w:r>
        <w:rPr>
          <w:rFonts w:hint="eastAsia" w:eastAsia="仿宋_GB2312" w:cs="Times New Roman"/>
          <w:color w:val="000000" w:themeColor="text1"/>
          <w:spacing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发展战略，把促进农民共同富裕为主攻方向，推进进城农民工市民化，把农民工变成中等收入群体。共同富裕离不开就业。我们要实施以“专精特新”为主体的中小企业公平发展战略。中小企业是“就业之源、税收之基、创新之源”，要支持专精特新中小企业高质量发展，提升服务专精特新中小企业的能力和水平，以创造更多就业岗位</w:t>
      </w:r>
      <w:r>
        <w:rPr>
          <w:rFonts w:hint="eastAsia" w:eastAsia="仿宋_GB2312" w:cs="Times New Roman"/>
          <w:color w:val="000000" w:themeColor="text1"/>
          <w:spacing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为更多人提供参与经济活动的机会，为增加收入、共同富裕创造必要的条件和通道。要实现共同富裕，收入分配制度改革是核心所在。我们要实施以“橄榄型财富结构”为目标的收入分配制度改革战略，实施“收入倍增计划”，将“金字塔型”的收入分配结构，转变为“两头小、中间大”的“橄榄型”收入分配结构。共同富裕是物质和精神的全面富裕。我们要实施以“优秀传统文化”为核心的全民价值观重塑提升战略，要深度挖掘中华优秀传统文化的功能和力量，持续培育社会主义核心价值观、推动精神文明建设、推行科学素养建设，让爱国、包容、诚信、敬业、友善等中华优秀文化基因，流淌在每个仙桃人的血液里。</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eastAsiaTheme="majorEastAsia"/>
          <w:b/>
          <w:bCs/>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eastAsiaTheme="majorEastAsia"/>
          <w:b/>
          <w:bCs/>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r>
        <w:rPr>
          <w:rFonts w:hint="default" w:ascii="Times New Roman" w:hAnsi="Times New Roman" w:cs="Times New Roman"/>
          <w:color w:val="000000" w:themeColor="text1"/>
          <w:spacing w:val="0"/>
          <w:sz w:val="32"/>
          <w:szCs w:val="32"/>
          <w14:textFill>
            <w14:solidFill>
              <w14:schemeClr w14:val="tx1"/>
            </w14:solidFill>
          </w14:textFill>
        </w:rPr>
        <w:br w:type="page"/>
      </w:r>
    </w:p>
    <w:p>
      <w:pPr>
        <w:pStyle w:val="7"/>
        <w:keepNext w:val="0"/>
        <w:keepLines w:val="0"/>
        <w:pageBreakBefore w:val="0"/>
        <w:widowControl w:val="0"/>
        <w:shd w:val="clear"/>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建设四化同步发展示范区关键在同步</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杜湖</w:t>
      </w:r>
      <w:r>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委员组</w:t>
      </w: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 xml:space="preserve">  </w:t>
      </w:r>
      <w:r>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严玄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建设四化同步</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发展</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示范区是省委赋予</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仙桃</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的</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职责</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使命。</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实现四化同步</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是加快省内全域一体化、</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推进</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共同富裕的重大探索，是为</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全省县域</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现代化建设探路的重大实践，是引领</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仙桃</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现代化</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强市</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建设的重大机遇。</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当前，在</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推进现代化</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强市</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建设</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进程中，我们</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仍然面临着一些制约和挑战，工业经济引领不强是我们面临的最大困难，区位</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优势发挥不够</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是我们面临的最大</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问题</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，资源要素保障不</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足</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是我们面临的最大弱项，城乡发展融合不深是我们面临的最大难点，公共服务水平不高是我们面临的最大短板。</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因此，必须</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着眼推动信息化和工业化深度融合、工业化和城镇化良性互动、城镇化和农业现代化相互协调，通过以流域综合治理为基础、以区域协同为重要依托、以产业发展为核心纽带、以融合发展为基本路径、以数字赋能为硬核引擎，</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集全市之智、举全市之力，</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努力在“四化同步”发展上探索新路、当好示范。</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在推进“四化同步”发展实践中，我认为，同步是基础，更是关键，因此，我建议：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1.牢牢把握“同步”关键路径。</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四化</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同步不是简单的齐步并走、等量齐升，而是一个深度融合、互促互进、整体提升的过程。</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对于仙桃而言，</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在推进</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四化</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同步策略上，必须坚持工业化引领，强化城镇化支撑，注重农业现代化强基，突出信息化赋能，</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但绝不能孤立看待单个发展，必须在强化工业主导地位基础上，更加突出现代农业的基础性作用，在筑牢工业支柱性地位前提下，更加明确产城一体的发展导向。同时要以加快数字城市、智能制造、智慧农业为牵引，统筹发展机制、统筹发展项目、统筹发展节点、统筹发展目标，</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切实把准</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同步</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发展的协调推进路径，推动</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四化</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协同更加高效有力。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2.牢牢把握“同步”有效方法。</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当前</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推进“四化同步”没有可复制的经验和做法，就仙桃实际而言，必须注重</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系统集成、协同推进，把集成</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作为“同步”的有效方法，</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摆在重中之重的位置。围绕怎么集成、集成什么深入谋划，着力在体系集成、政策集成、平台集成、制度集成、</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项目集成、</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人才集成等方面做文章、下功夫，增强各项举措的关联性、耦合性、互动性，推动跨领域关联、诸要素协同，充分释放集成改革的综合效应、叠加效应、乘数效应。</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3.牢牢把握“同步”目标取向。</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建设</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四化同步示范区，</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示范</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是目标取向。必须坚持以</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示范</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的理念视角、目标追求引领推进</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四化</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同步，</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在特色上着笔、在独创上着力，立足仙桃工业、农业自身优势，把融合的盘子做大。把协同的文章做精，</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大胆探索、先行先试，</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围绕“五个路径”，</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着力在创造新示范、闯出新路子、增创新优势上下功夫、见成效，努力创造更多具有典型意义</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同步”案例和</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可复制可推广的</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同步</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经验做法。</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4.牢牢把握“同步”必要配套。</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建设</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四化</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同步</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发展示范区归根结底是一个改革问题，是一个生产关系适应生产力发展的问题，</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涉及经济社会发展方方面面，必须注重加强各领域改革创新与</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四化同步</w:t>
      </w:r>
      <w:r>
        <w:rPr>
          <w:rFonts w:hint="eastAsia" w:ascii="仿宋_GB2312" w:hAnsi="仿宋_GB2312" w:eastAsia="仿宋_GB2312" w:cs="仿宋_GB2312"/>
          <w:b w:val="0"/>
          <w:bCs w:val="0"/>
          <w:color w:val="000000" w:themeColor="text1"/>
          <w:kern w:val="2"/>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发展</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有机衔接配套，</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要</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统筹</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好招商政策、项目建设、乡村振兴、</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生态文明、</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共同富裕</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、公共服务、社会治理、</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基层党建</w:t>
      </w:r>
      <w:r>
        <w:rPr>
          <w:rFonts w:hint="default" w:ascii="仿宋_GB2312" w:hAnsi="仿宋_GB2312" w:eastAsia="仿宋_GB2312" w:cs="仿宋_GB2312"/>
          <w:b w:val="0"/>
          <w:bCs w:val="0"/>
          <w:color w:val="000000" w:themeColor="text1"/>
          <w:kern w:val="2"/>
          <w:sz w:val="32"/>
          <w:szCs w:val="32"/>
          <w:lang w:eastAsia="zh-CN"/>
          <w14:textFill>
            <w14:solidFill>
              <w14:schemeClr w14:val="tx1"/>
            </w14:solidFill>
          </w14:textFill>
        </w:rPr>
        <w:t>等领域</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创新</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实践</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以体制机制共同发力推进四化同步建设形成合力，</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最大限度释放改革创新综合效能。</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5.牢牢把握“同步”组织领导</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。建设四化同步示范区本质上也是一个重大的改革创新项目，必须充分调动一切积极因素。要坚持把解放思想作为建设</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头道工序，</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实现认识上的统一。要建立行之有效的</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组织架构，构建统筹推进“四化同步</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的领导体系。</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建议成立</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由市委、市政府主要领导任双组长的“四化同步</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领导小组，</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同时</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按照“四化”四大领域成立4个专题小组，由相关市领导任组长，</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协调</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推进“四化同步</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，确保省委有要求、</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仙桃</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有行动、落实见成效。</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要</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进一步提升改革创新在高质量发展综合考核中的权重，年底评选一批有影响的改革案例和创新成果予以单独奖励，形成人人参与、人人推动四化同步</w:t>
      </w:r>
      <w:r>
        <w:rPr>
          <w:rFonts w:hint="eastAsia"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发展</w:t>
      </w:r>
      <w:r>
        <w:rPr>
          <w:rFonts w:hint="default" w:ascii="仿宋_GB2312" w:hAnsi="仿宋_GB2312" w:eastAsia="仿宋_GB2312" w:cs="仿宋_GB2312"/>
          <w:b w:val="0"/>
          <w:bCs w:val="0"/>
          <w:color w:val="000000" w:themeColor="text1"/>
          <w:kern w:val="2"/>
          <w:sz w:val="32"/>
          <w:szCs w:val="32"/>
          <w:lang w:val="en-US" w:eastAsia="zh-CN"/>
          <w14:textFill>
            <w14:solidFill>
              <w14:schemeClr w14:val="tx1"/>
            </w14:solidFill>
          </w14:textFill>
        </w:rPr>
        <w:t>示范区建设的浓厚氛围。</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小标宋简体" w:cs="Times New Roman"/>
          <w:color w:val="000000" w:themeColor="text1"/>
          <w:spacing w:val="0"/>
          <w:sz w:val="32"/>
          <w:szCs w:val="32"/>
          <w14:textFill>
            <w14:solidFill>
              <w14:schemeClr w14:val="tx1"/>
            </w14:solidFill>
          </w14:textFill>
        </w:rPr>
      </w:pPr>
      <w:r>
        <w:rPr>
          <w:rFonts w:hint="default" w:ascii="Times New Roman" w:hAnsi="Times New Roman" w:eastAsia="方正小标宋简体"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小标宋简体"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关于</w:t>
      </w:r>
      <w:r>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进一步提高</w:t>
      </w: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持续整治群众身边腐败和作风问题的</w:t>
      </w:r>
      <w:r>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能力和水平，让群众获得感</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成色更足的</w:t>
      </w: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党群委员组  罗运梅</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“群众身边腐败和作风问题”具有涉及面广、基数大、表现多样、易反弹等特点，群众感受最为真切，反映最为强烈。这些问题的存在，不仅直接侵害群众切身利益，而且严重影响党和政府的形象。</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近年来，我市大力整治群众反映强烈的突出问题，构建了“党委政府主导、牵头部门主责、纪委监委主推”的工作格局，聚焦乡村振兴、营商环境、教育医疗、生态环保等领域开展专项治理，查处了一批民怨大、反映多、危害重的群众身边腐败和作风问题，取得明显成效，群众获得感幸福感不断增强。</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然而，与人民群众日益增长的对美好生活的向往相比，与深入推进新时代党的建设的要求相比，整治群众身边腐败和作风问题依然任重道远。</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一是突出问题积弊难除。</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群众对教育医疗、生态环保、食品药品安全、执法司法等领域问题的反映依然集中，惠民政策落实缩水走样、蝇贪蚁腐与民争利行为时有发生。</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二是系统施治不够深入。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一些群腐问题的“重灾区”，往往存在权力运行监督制约机制还不健全、监管制度流于形式等问题，以案促改促治的效果还需加强，一体推进“三不腐”的水平还需提高。</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三是贯通协同仍有不足。</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少数镇办、市直部门在落实主体责任上缺乏认识、担当和有力举措，对整治群众身边腐败和作风问题重视不够、落实不力，主体责任、监督责任、监管责任一体落实机制尚未有效形成。为此，我们建议：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1.坚持政治统领，凝聚整体工作合力。</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群众身边腐败和作风问题涉及面广、表现多样，整治工作不能搞单打独斗。必须坚持从政治上看整治工作，进一步完善“党委政府主导、牵头部门主责、纪委监委主推”的工作机制，督促推动各级党组织、纪检监察机关、职能部门等各类主体各司其职、各负其责，形成齐抓共管、协同高效的工作格局。重点是压紧压实职能部门牵头主抓责任，既要管审批服务和资源分配，更要履行部门监管责任，坚决纠正“重审批分配、轻监督管理”的问题。要按照“选择切入点、一年一专题、一部门一方案”的思路，督促相关职能部门研究提出本行业本系统的年度整治具体项目及措施，以重点突破带动整体提升，通过一个个具体问题的解决，取信于民、惠及于民。</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2.坚持问题导向，常态开展专项整治。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整治群众身边腐败和作风问题，关键在于找准问题及其根源所在，坚持什么问题突出就重点解决什么问题、什么问题反复发生就专项治理什么问题。畅通群众表达诉求渠道，整合市内各类平台信息，找准群众所忧所难所急所盼，聚焦群众痛点难点堵点，做到整治项目征集群众意愿、整治过程邀请群众监督、整治效果接受群众评判。紧盯党的惠民富民、促进共同富裕政策落实，既要对标对表抓好中央、省级规定专项整治，又要结合仙桃实际开展自选专项整治，持续整治教育医疗、生态环保、食品药品安全、物业管理等领域群众反映强烈的突出问题，抓住关键少数、关键环节和关键岗位，围绕权力集中、资金密集、资源富集以及群众关注的热点事项，有针对性开展专项监督，严肃惩治敷衍塞责、吃拿卡要、截留挪用等侵害群众利益的行为。</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3.坚持系统施治，提升监督治理实效。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整治</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群众身边腐败和作风问题，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重在</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系统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施治、标本兼治，一体推进不敢腐、不能腐、不想腐。更加注重以案促改，坚持系统办案、办系统案，把查办侵害群众利益案件与深化改革、促进治理贯通起来，深入挖掘个案背后的行业性、系统性风险隐患，推动从查处个案向解决共性问题拓展，从局部治理向全域治理拓展。更加注重制度建设，深入开展廉政风险排查和防控，对群腐问题易发多发反映强烈的重点领域、重点环节、重要岗位进行梳理，构建权责明晰、公开透明、操作规范、监督有力的权力清单运行机制，从源头上遏制和减少腐败。更加注重教育引导，充分发挥清廉建设引领作用，推进纪法教育和廉政教育走深走实，从思想上构筑起不想腐的堤坝。</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r>
        <w:rPr>
          <w:rFonts w:hint="default" w:ascii="Times New Roman" w:hAnsi="Times New Roman" w:cs="Times New Roman"/>
          <w:color w:val="000000" w:themeColor="text1"/>
          <w:spacing w:val="0"/>
          <w:sz w:val="32"/>
          <w:szCs w:val="32"/>
          <w14:textFill>
            <w14:solidFill>
              <w14:schemeClr w14:val="tx1"/>
            </w14:solidFill>
          </w14:textFill>
        </w:rPr>
        <w:br w:type="page"/>
      </w:r>
    </w:p>
    <w:p>
      <w:pPr>
        <w:pStyle w:val="7"/>
        <w:keepNext w:val="0"/>
        <w:keepLines w:val="0"/>
        <w:pageBreakBefore w:val="0"/>
        <w:widowControl w:val="0"/>
        <w:shd w:val="clear"/>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新时代干部必须懂点金融</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——关于加大金融培训力度，提升干部金融素养的建议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 xml:space="preserve">财贸委员组  </w:t>
      </w:r>
      <w:r>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梁振亮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金融是现代经济的核心，是社会主义市场经济的重要生产要素，是推动经济社会发展的重要力量。金融活、经济活，金融稳、经济稳</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金融安全是国家安全的重要组成部分，是经济平稳健康发展的重要基础</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维护金融秩序，首要的就是维护金融的安全</w:t>
      </w:r>
      <w:r>
        <w:rPr>
          <w:rFonts w:hint="eastAsia" w:eastAsia="仿宋_GB2312" w:cs="Times New Roman"/>
          <w:color w:val="000000" w:themeColor="text1"/>
          <w:spacing w:val="0"/>
          <w:sz w:val="32"/>
          <w:szCs w:val="32"/>
          <w:lang w:eastAsia="zh-CN"/>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kern w:val="0"/>
          <w:sz w:val="32"/>
          <w:szCs w:val="32"/>
          <w:shd w:val="clear" w:color="auto" w:fill="FFFFFF"/>
          <w:lang w:bidi="ar"/>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当前，我市</w:t>
      </w:r>
      <w:r>
        <w:rPr>
          <w:rFonts w:hint="eastAsia" w:eastAsia="仿宋_GB2312" w:cs="Times New Roman"/>
          <w:color w:val="000000" w:themeColor="text1"/>
          <w:spacing w:val="0"/>
          <w:sz w:val="32"/>
          <w:szCs w:val="32"/>
          <w:lang w:eastAsia="zh-CN"/>
          <w14:textFill>
            <w14:solidFill>
              <w14:schemeClr w14:val="tx1"/>
            </w14:solidFill>
          </w14:textFill>
        </w:rPr>
        <w:t>锚定</w:t>
      </w:r>
      <w:r>
        <w:rPr>
          <w:rFonts w:hint="default" w:ascii="Times New Roman" w:hAnsi="Times New Roman" w:eastAsia="仿宋_GB2312" w:cs="Times New Roman"/>
          <w:color w:val="000000" w:themeColor="text1"/>
          <w:spacing w:val="0"/>
          <w:sz w:val="32"/>
          <w:szCs w:val="32"/>
          <w14:textFill>
            <w14:solidFill>
              <w14:schemeClr w14:val="tx1"/>
            </w14:solidFill>
          </w14:textFill>
        </w:rPr>
        <w:t>“挺进五十强、创成文明城</w:t>
      </w:r>
      <w:r>
        <w:rPr>
          <w:rFonts w:hint="eastAsia" w:eastAsia="仿宋_GB2312" w:cs="Times New Roman"/>
          <w:color w:val="000000" w:themeColor="text1"/>
          <w:spacing w:val="0"/>
          <w:sz w:val="32"/>
          <w:szCs w:val="32"/>
          <w:lang w:eastAsia="zh-CN"/>
          <w14:textFill>
            <w14:solidFill>
              <w14:schemeClr w14:val="tx1"/>
            </w14:solidFill>
          </w14:textFill>
        </w:rPr>
        <w:t>、建设示范区</w:t>
      </w:r>
      <w:r>
        <w:rPr>
          <w:rFonts w:hint="default" w:ascii="Times New Roman" w:hAnsi="Times New Roman" w:eastAsia="仿宋_GB2312" w:cs="Times New Roman"/>
          <w:color w:val="000000" w:themeColor="text1"/>
          <w:spacing w:val="0"/>
          <w:sz w:val="32"/>
          <w:szCs w:val="32"/>
          <w14:textFill>
            <w14:solidFill>
              <w14:schemeClr w14:val="tx1"/>
            </w14:solidFill>
          </w14:textFill>
        </w:rPr>
        <w:t>”的发展目标进入攻坚冲刺阶段，金融在经济工作中的关键性地位愈发突显。但据不完全统计，我市金融专长型党员干部较为短缺，金融类专业毕业的地方党政领导干部和部门管理干部占比不到20%，一线干部队伍金融素养仍有较大提升空间。</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一是</w:t>
      </w:r>
      <w:r>
        <w:rPr>
          <w:rFonts w:hint="default" w:ascii="Times New Roman" w:hAnsi="Times New Roman" w:eastAsia="仿宋_GB2312" w:cs="Times New Roman"/>
          <w:color w:val="000000" w:themeColor="text1"/>
          <w:spacing w:val="0"/>
          <w:sz w:val="32"/>
          <w:szCs w:val="32"/>
          <w14:textFill>
            <w14:solidFill>
              <w14:schemeClr w14:val="tx1"/>
            </w14:solidFill>
          </w14:textFill>
        </w:rPr>
        <w:t>金融风险意识、法治意识不强，在处理复杂经济社会问题时，不能很好运用金融法规、金融要素进行分析处理，对可能</w:t>
      </w:r>
      <w:r>
        <w:rPr>
          <w:rFonts w:hint="eastAsia" w:eastAsia="仿宋_GB2312" w:cs="Times New Roman"/>
          <w:color w:val="000000" w:themeColor="text1"/>
          <w:spacing w:val="0"/>
          <w:sz w:val="32"/>
          <w:szCs w:val="32"/>
          <w:lang w:eastAsia="zh-CN"/>
          <w14:textFill>
            <w14:solidFill>
              <w14:schemeClr w14:val="tx1"/>
            </w14:solidFill>
          </w14:textFill>
        </w:rPr>
        <w:t>发生</w:t>
      </w:r>
      <w:r>
        <w:rPr>
          <w:rFonts w:hint="default" w:ascii="Times New Roman" w:hAnsi="Times New Roman" w:eastAsia="仿宋_GB2312" w:cs="Times New Roman"/>
          <w:color w:val="000000" w:themeColor="text1"/>
          <w:spacing w:val="0"/>
          <w:sz w:val="32"/>
          <w:szCs w:val="32"/>
          <w14:textFill>
            <w14:solidFill>
              <w14:schemeClr w14:val="tx1"/>
            </w14:solidFill>
          </w14:textFill>
        </w:rPr>
        <w:t>的金融风险苗头没有较好的预判、防范能力；</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二是</w:t>
      </w:r>
      <w:r>
        <w:rPr>
          <w:rFonts w:hint="default" w:ascii="Times New Roman" w:hAnsi="Times New Roman" w:eastAsia="仿宋_GB2312" w:cs="Times New Roman"/>
          <w:color w:val="000000" w:themeColor="text1"/>
          <w:spacing w:val="0"/>
          <w:sz w:val="32"/>
          <w:szCs w:val="32"/>
          <w14:textFill>
            <w14:solidFill>
              <w14:schemeClr w14:val="tx1"/>
            </w14:solidFill>
          </w14:textFill>
        </w:rPr>
        <w:t>金融理论基础不牢固，金融知识更新不及时，在化解经济金融风险时导致出现油加不上、劲使不出的现象；</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三是</w:t>
      </w:r>
      <w:r>
        <w:rPr>
          <w:rFonts w:hint="default" w:ascii="Times New Roman" w:hAnsi="Times New Roman" w:eastAsia="仿宋_GB2312" w:cs="Times New Roman"/>
          <w:color w:val="000000" w:themeColor="text1"/>
          <w:spacing w:val="0"/>
          <w:sz w:val="32"/>
          <w:szCs w:val="32"/>
          <w14:textFill>
            <w14:solidFill>
              <w14:schemeClr w14:val="tx1"/>
            </w14:solidFill>
          </w14:textFill>
        </w:rPr>
        <w:t>对金融领域存在“本领恐慌”，对党中央金融政策学习不够深不够透，在运用金融知识谋发展、运用金融手段促发展上能力不足，导致指导经济工作不专业，不内行。</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pacing w:val="0"/>
          <w:kern w:val="0"/>
          <w:sz w:val="32"/>
          <w:szCs w:val="32"/>
          <w:shd w:val="clear" w:color="auto" w:fill="FFFFFF"/>
          <w:lang w:bidi="ar"/>
          <w14:textFill>
            <w14:solidFill>
              <w14:schemeClr w14:val="tx1"/>
            </w14:solidFill>
          </w14:textFill>
        </w:rPr>
        <w:t>因此我们新时代的干部必须要懂一点金融</w:t>
      </w:r>
      <w:r>
        <w:rPr>
          <w:rFonts w:hint="default" w:ascii="Times New Roman" w:hAnsi="Times New Roman" w:eastAsia="仿宋_GB2312" w:cs="Times New Roman"/>
          <w:color w:val="000000" w:themeColor="text1"/>
          <w:spacing w:val="0"/>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切实学金融、懂金融、会金融。建议如下：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1.强化金融法治教育，增强干部队伍法治金融意识。</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在全面依法治国的背景下，运用金融法治思维和法治方式解决问题，是依法开展经济工作的必然要求，也是提高党政领导干部做好经济工作的必备条件，更是推进经济社会健康平稳发展的必要前提。通过加强党政领导干部金融法治意识培育，促进其在经济工作中，运用学习掌握的新时期金融知识，创新手段积极运用信贷获资、基金筹资、上市融资等金融渠道助力地方经济、推动绿色仙桃发展，做到遵守金融法规、投资不踩红线，积极防范化解非法集资、网络诈骗等非法金融风险。</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2.加强金融知识培训，提高干部队伍学用金融水平。</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可采取党校集中培训、中青年干部轮训、邀请金融专家开展金融政策业务宣讲等方式，引导全市党员领导干部认真学习金融，增强金融意识，把中央、省、市金融政策和金融推动经济发展的各项措施学懂弄通做实，通过学习金融助推经济发展的模式、产品、方式、手段，增强运用金融助推经济发展的能力。学会运用金融知识，着力解决融资难、融资贵、融资慢等问题，进一步加快企业转型升级，推动经济金融的良性循环互动发展，</w:t>
      </w:r>
      <w:r>
        <w:rPr>
          <w:rFonts w:hint="eastAsia" w:eastAsia="仿宋_GB2312" w:cs="Times New Roman"/>
          <w:color w:val="000000" w:themeColor="text1"/>
          <w:sz w:val="32"/>
          <w:szCs w:val="32"/>
          <w:lang w:val="en-US" w:eastAsia="zh-CN"/>
          <w14:textFill>
            <w14:solidFill>
              <w14:schemeClr w14:val="tx1"/>
            </w14:solidFill>
          </w14:textFill>
        </w:rPr>
        <w:t>助推</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仙桃高质量发展。</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3.加强金融工作考核，倒逼干部队伍提升金融能力。</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加大绿色金融发展评价，积极开展金融信用市创建，进一步优化金融营商环境，引导广大党政领导干部重视金融、关注金融、参与金融、借力金融，在金融实践中锻炼党政干部提升运用金融推进工作的能力。在选拔领导干部时，适当增加金融方面考核内容、增加经济金融考核分值。</w:t>
      </w:r>
    </w:p>
    <w:p>
      <w:pPr>
        <w:pStyle w:val="12"/>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color w:val="000000" w:themeColor="text1"/>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bidi="ar-SA"/>
          <w14:textFill>
            <w14:solidFill>
              <w14:schemeClr w14:val="tx1"/>
            </w14:solidFill>
          </w14:textFill>
        </w:rPr>
        <w:t>4.加强金融人才引进，提高干部队伍整体金融素养。</w:t>
      </w:r>
      <w:r>
        <w:rPr>
          <w:rFonts w:hint="eastAsia" w:ascii="仿宋_GB2312" w:hAnsi="仿宋_GB2312" w:eastAsia="仿宋_GB2312" w:cs="仿宋_GB2312"/>
          <w:i w:val="0"/>
          <w:iCs w:val="0"/>
          <w:caps w:val="0"/>
          <w:color w:val="000000" w:themeColor="text1"/>
          <w:spacing w:val="0"/>
          <w:kern w:val="0"/>
          <w:sz w:val="32"/>
          <w:szCs w:val="32"/>
          <w:shd w:val="clear" w:color="auto" w:fill="FFFFFF"/>
          <w:lang w:val="en-US" w:eastAsia="zh-CN" w:bidi="ar"/>
          <w14:textFill>
            <w14:solidFill>
              <w14:schemeClr w14:val="tx1"/>
            </w14:solidFill>
          </w14:textFill>
        </w:rPr>
        <w:t>加大政策倾斜，提升</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公务员招聘中金融专业大学生人员占比，增强市直和各镇办经济主管部门懂金融、会金融、用金融的能力和水平。更新用人观念，依托湖北经济学院、中南财经政法大学等省内、国内金融类院校，培养和引进各类基金、风投、创投、租赁等平台的金融高端人才。建立金融人才队伍激励机制，打造多层次、广覆盖、含金量高的高素质金融人才队伍，突破经济发展中金融人才瓶颈的制约，有效发挥金融和资本运作支持地方经济高质量发展的支撑作用。</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小标宋简体" w:cs="Times New Roman"/>
          <w:color w:val="000000" w:themeColor="text1"/>
          <w:spacing w:val="0"/>
          <w:sz w:val="32"/>
          <w:szCs w:val="32"/>
          <w14:textFill>
            <w14:solidFill>
              <w14:schemeClr w14:val="tx1"/>
            </w14:solidFill>
          </w14:textFill>
        </w:rPr>
      </w:pPr>
      <w:r>
        <w:rPr>
          <w:rFonts w:hint="default" w:ascii="Times New Roman" w:hAnsi="Times New Roman" w:eastAsia="方正小标宋简体" w:cs="Times New Roman"/>
          <w:color w:val="000000" w:themeColor="text1"/>
          <w:spacing w:val="0"/>
          <w:sz w:val="32"/>
          <w:szCs w:val="32"/>
          <w14:textFill>
            <w14:solidFill>
              <w14:schemeClr w14:val="tx1"/>
            </w14:solidFill>
          </w14:textFill>
        </w:rPr>
        <w:br w:type="page"/>
      </w:r>
    </w:p>
    <w:p>
      <w:pPr>
        <w:pStyle w:val="7"/>
        <w:keepNext w:val="0"/>
        <w:keepLines w:val="0"/>
        <w:pageBreakBefore w:val="0"/>
        <w:widowControl w:val="0"/>
        <w:shd w:val="clear"/>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守护好仙桃一片蓝天</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关于</w:t>
      </w: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大气污染防治对策</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的</w:t>
      </w: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综合二委员组  李启文</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14:textFill>
            <w14:solidFill>
              <w14:schemeClr w14:val="tx1"/>
            </w14:solidFill>
          </w14:textFill>
        </w:rPr>
        <w:t>生态文明建设是我国五位一体总体战略的重要组成部分，建设生态文明是中华民族永续发展的千年大计。天蓝地绿水清是生态环境良好的重要标志，也是生态文明建设的重要构建。近年来，在市委、市政府的坚强领导下，我市通过加强工业大气污染治理、淘汰超标车辆、强化扬尘污染治理、禁止秸秆露天焚烧等措施，我市的环境空气质量</w:t>
      </w:r>
      <w:r>
        <w:rPr>
          <w:rFonts w:hint="eastAsia" w:ascii="仿宋_GB2312" w:hAnsi="仿宋_GB2312" w:eastAsia="仿宋_GB2312" w:cs="仿宋_GB2312"/>
          <w:color w:val="000000" w:themeColor="text1"/>
          <w:sz w:val="32"/>
          <w:szCs w:val="32"/>
          <w:lang w:eastAsia="zh-CN"/>
          <w14:textFill>
            <w14:solidFill>
              <w14:schemeClr w14:val="tx1"/>
            </w14:solidFill>
          </w14:textFill>
        </w:rPr>
        <w:t>对比前几年</w:t>
      </w:r>
      <w:r>
        <w:rPr>
          <w:rFonts w:hint="default" w:ascii="仿宋_GB2312" w:hAnsi="仿宋_GB2312" w:eastAsia="仿宋_GB2312" w:cs="仿宋_GB2312"/>
          <w:color w:val="000000" w:themeColor="text1"/>
          <w:sz w:val="32"/>
          <w:szCs w:val="32"/>
          <w14:textFill>
            <w14:solidFill>
              <w14:schemeClr w14:val="tx1"/>
            </w14:solidFill>
          </w14:textFill>
        </w:rPr>
        <w:t>有所改善。环境空气质量主要指标优良天数比例从2016年的81.4%上升到2021年的84.1%，PM10、PM2.5分别从81μg/m3、48μg/m3下降到69μg/m3、31μg/m3。但</w:t>
      </w:r>
      <w:r>
        <w:rPr>
          <w:rFonts w:hint="eastAsia" w:ascii="仿宋_GB2312" w:hAnsi="仿宋_GB2312" w:eastAsia="仿宋_GB2312" w:cs="仿宋_GB2312"/>
          <w:color w:val="000000" w:themeColor="text1"/>
          <w:sz w:val="32"/>
          <w:szCs w:val="32"/>
          <w:lang w:eastAsia="zh-CN"/>
          <w14:textFill>
            <w14:solidFill>
              <w14:schemeClr w14:val="tx1"/>
            </w14:solidFill>
          </w14:textFill>
        </w:rPr>
        <w:t>总体上来看，</w:t>
      </w:r>
      <w:r>
        <w:rPr>
          <w:rFonts w:hint="default" w:ascii="仿宋_GB2312" w:hAnsi="仿宋_GB2312" w:eastAsia="仿宋_GB2312" w:cs="仿宋_GB2312"/>
          <w:color w:val="000000" w:themeColor="text1"/>
          <w:sz w:val="32"/>
          <w:szCs w:val="32"/>
          <w14:textFill>
            <w14:solidFill>
              <w14:schemeClr w14:val="tx1"/>
            </w14:solidFill>
          </w14:textFill>
        </w:rPr>
        <w:t>我市的环境空气质量持续改善的压力还很大</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一是工作合力不强。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影响环境空气质量的主要因素有工业企业排放、道路工地扬尘污染、机动车尾气排放、餐饮油烟污染、农作物秸秆露天焚烧等，涉及多个监管部门，各部门联动不够，工作合力不强，没有形成全市一盘棋工作格局。</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二是监管执法不严。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市政施工、建筑工地、城区露天砂石堆场扬尘污染问题多次被省生态环境厅大气驻点帮扶组点名批评，农作物秸秆露天焚烧屡禁不止，每到5—6月、9—10月夏秋收割时期，我市环境空气质量明显下降，主要原因就是农作物秸秆露天焚烧。工业企业排放标准不高，无组织排放比较普遍，监管执法偏软。夜市摊点露天烧烤、油烟直排比比皆是。</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三是科技支撑不够。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影响我市环境空气质量的主要污染因子为PM2.5和臭氧，而PM2.5和臭氧形成过程复杂，主要为工业排放、机动车尾气、餐饮油烟、扬尘中的细颗粒物，在特定温度及气候条件下，发生复杂的光化学反应形成。我市在利用激光雷达、扬尘和挥发性有机物走航监测等手段，精准分析高浓度区域实现精准防控这方面存在较大差距，科技支撑能力明显不足。</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default" w:ascii="仿宋_GB2312" w:hAnsi="仿宋_GB2312" w:eastAsia="仿宋_GB2312" w:cs="仿宋_GB2312"/>
          <w:color w:val="000000" w:themeColor="text1"/>
          <w:sz w:val="32"/>
          <w:szCs w:val="32"/>
          <w14:textFill>
            <w14:solidFill>
              <w14:schemeClr w14:val="tx1"/>
            </w14:solidFill>
          </w14:textFill>
        </w:rPr>
        <w:t>为回应群众的期待，实现市十次党代会提出的建设生态文明城的目标，守护好仙桃的蓝天，我们建议</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1.明确工作职责，进行长效监管。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目前我市成立了大气污染防治站攻坚指挥部，14个职能部门主要负责人和22个地方行政主要负责人为成员，并印发了《仙桃市大气污染防治攻坚工作方案》和任务清单，市人民政府也已分别针对餐饮油烟、扬尘管控等方面工作职责进行了明确，基本形成了指挥部牵头抓总、各地各部门各司其职的工作格局。建议各地、</w:t>
      </w:r>
      <w:r>
        <w:rPr>
          <w:rFonts w:hint="eastAsia" w:ascii="仿宋_GB2312" w:hAnsi="仿宋_GB2312" w:eastAsia="仿宋_GB2312" w:cs="仿宋_GB2312"/>
          <w:color w:val="000000" w:themeColor="text1"/>
          <w:sz w:val="32"/>
          <w:szCs w:val="32"/>
          <w14:textFill>
            <w14:solidFill>
              <w14:schemeClr w14:val="tx1"/>
            </w14:solidFill>
          </w14:textFill>
        </w:rPr>
        <w:t>各单位要</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结合具体工作内容，主动认领职责和任务，从建立健全长效管理机制着手，完善准入门槛、管理办法、推进机制、考核办法，做到源头管控、长效管控</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2.加强部门配合，强化联防联控。</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大气污染防治工作涉及方方面面，单靠某一个单位单打独斗难以取得成效。建议各地、各部门要深入履职，对标对表抓落实，不搞花架子、不做表面文章，坚决防止责任真空。要紧密结合我市实际，积极主动开展工作，不折不扣将规定动作做到位。加强部门之间沟通协调，做到互通有无、整体联动，提高推进效率，形成上下联动、齐抓共管、协同推进的工作合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3.强化监管执法，提高监管水平。</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大气污染防治法律法规是不能触碰的底线，建议各地各部门要进一步加大执法监管力度，对不遵守大气污染防治各项法律法规的要严厉惩处到位，从抓反面典型开始以点带面推进治理，不能讲情面留一手，形成有法必依、执法必严、违法必究的良好执法环境。</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4.加大资金投入，加大支撑保障。</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建议加大对全市大气污染防治各领域如环境质量监测、预警预报、分析研判以及道路清扫机械、机动车尾气监管监测设施、餐饮油烟监测设施、秸秆禁烧和综合利用补贴、老旧车辆淘汰补贴、企业减排和设施改造补贴等方面的财政投入，夯实大气污染防治各项工作基础，提高整体管理水平。</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楷体_GB2312" w:hAnsi="楷体_GB2312" w:eastAsia="楷体_GB2312" w:cs="楷体_GB2312"/>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小标宋简体" w:cs="Times New Roman"/>
          <w:color w:val="000000" w:themeColor="text1"/>
          <w:spacing w:val="0"/>
          <w:sz w:val="32"/>
          <w:szCs w:val="32"/>
          <w14:textFill>
            <w14:solidFill>
              <w14:schemeClr w14:val="tx1"/>
            </w14:solidFill>
          </w14:textFill>
        </w:rPr>
      </w:pPr>
      <w:r>
        <w:rPr>
          <w:rFonts w:hint="default" w:ascii="Times New Roman" w:hAnsi="Times New Roman" w:eastAsia="方正小标宋简体"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小标宋简体"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美丽乡村最不能遗忘的是文化乡愁</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w:t>
      </w: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关于在乡村振兴战略中</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如何</w:t>
      </w: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展现文化担当作为的建议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宣传委员组  曾静</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乡村振兴，文化是魂。实施乡村振兴战略，既要“塑形”，也要“铸魂”。文化是一个乡村最基本、最持久的力量，能为乡村振兴战略提供精神激励、智慧支持和道德滋养。仙桃人素来以耕读传家为本，以勤俭节约为德，传袭邻里守望、敢为人先的传统，这是仙桃近年来高速发展的力量源泉，更是仙桃纯净浑厚的文化根脉，如果丢掉这些东西，仙桃人的心灵将缺少港湾，没有归属感。我们要充分发挥文化在乡村振兴中的铸魂作用，用文化为乡村振兴筑基铺路，在乡村振兴、文明创建、美丽乡村建设中把根留住，在继承和弘扬乡愁中赓续仙桃文脉，传承仙桃文化基因，把沉淀在乡愁中的那些文化作为仙桃记忆留下来，以乡愁来弘扬仙桃传统优质文化，在时移世易中确保仙桃精神内核不变，仙桃优良传统不变，让走出仙桃的仙桃人留住家的记忆。为此，我们建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pacing w:val="0"/>
          <w:sz w:val="32"/>
          <w:szCs w:val="32"/>
          <w14:textFill>
            <w14:solidFill>
              <w14:schemeClr w14:val="tx1"/>
            </w14:solidFill>
          </w14:textFill>
        </w:rPr>
        <w:t>1.以文铸魂，凝聚乡村振兴的内生动力。</w:t>
      </w:r>
      <w:r>
        <w:rPr>
          <w:rFonts w:hint="default" w:ascii="Times New Roman" w:hAnsi="Times New Roman" w:eastAsia="仿宋_GB2312" w:cs="Times New Roman"/>
          <w:color w:val="000000" w:themeColor="text1"/>
          <w:spacing w:val="0"/>
          <w:sz w:val="32"/>
          <w:szCs w:val="32"/>
          <w14:textFill>
            <w14:solidFill>
              <w14:schemeClr w14:val="tx1"/>
            </w14:solidFill>
          </w14:textFill>
        </w:rPr>
        <w:t>文化振兴是乡村振兴战略的重要内容。一方面，要在共同缔造中涵养文化自信。运用共同缔造理念，实施文化铸魂工程，做好文化与乡村产业发展、乡村治理、招商引资、城镇建设等工作的结合文章，传承耕读传家、勤俭节约、邻里守望、敢为人先的仙桃文化根脉，深入挖掘仙桃文化属性精神文明内核的东西，独有独到独特的文化乡愁，打造具有仙桃特质的乡村文化品牌和文化名片，进一步坚定仙桃文化自信，为乡村振兴战略提供坚强而厚重的文化向心力。另一方面，要搭建文化复兴平台。发挥新时代文明实践所、站文化资源作用，充分整合现有乡镇文化站、村文化活动中心以及健身广场、文化大院等阵地，打通市、镇、村三级文明实践平台，将图书馆、群艺馆、博物馆等文化服务功能向镇、村拓展，打造乡村文化传袭地，推动优秀文化传承和发展。</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pacing w:val="0"/>
          <w:sz w:val="32"/>
          <w:szCs w:val="32"/>
          <w14:textFill>
            <w14:solidFill>
              <w14:schemeClr w14:val="tx1"/>
            </w14:solidFill>
          </w14:textFill>
        </w:rPr>
        <w:t>2.以文化人，夯实乡村振兴的基础活力。</w:t>
      </w:r>
      <w:r>
        <w:rPr>
          <w:rFonts w:hint="default" w:ascii="Times New Roman" w:hAnsi="Times New Roman" w:eastAsia="仿宋_GB2312" w:cs="Times New Roman"/>
          <w:color w:val="000000" w:themeColor="text1"/>
          <w:spacing w:val="0"/>
          <w:sz w:val="32"/>
          <w:szCs w:val="32"/>
          <w14:textFill>
            <w14:solidFill>
              <w14:schemeClr w14:val="tx1"/>
            </w14:solidFill>
          </w14:textFill>
        </w:rPr>
        <w:t>文化振兴是乡村振兴的题中应有之义，对乡村振兴具有引领和推动作用。要做好文化输血，通过知识、资金、人才下乡等，将先进、健康、有益的文化输送到农村。把发展好践行好传统优质文化纳入到四化同步发展的轨道中来，纳入到乡村振兴的整体规划中来，为美丽乡村铸魂提供政策支持、资金扶持。同时，统筹和协调多方面力量，鼓励、支持和吸引各种社会力量，特别是社会文化组织以及关注传统文化和仙桃优良文化的非遗传承人、民间艺术家等参与农村文化建设中来，形成共抓大保护机制，全面激发以农民群众为主体的全社会参与热情。尤其是要注重新鲜血液的再造和传统文化在新时期的弘扬发展，不能让传统文化、美丽乡愁成为文物展品，要让仙桃文化动起来活起来，进一步增强优秀传统文化在新时期迸发出蓬勃生命力和活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pacing w:val="0"/>
          <w:sz w:val="32"/>
          <w:szCs w:val="32"/>
          <w14:textFill>
            <w14:solidFill>
              <w14:schemeClr w14:val="tx1"/>
            </w14:solidFill>
          </w14:textFill>
        </w:rPr>
        <w:t>3.以文兴业，厚植乡村振兴的发展潜力。</w:t>
      </w:r>
      <w:r>
        <w:rPr>
          <w:rFonts w:hint="default" w:ascii="Times New Roman" w:hAnsi="Times New Roman" w:eastAsia="仿宋_GB2312" w:cs="Times New Roman"/>
          <w:color w:val="000000" w:themeColor="text1"/>
          <w:spacing w:val="0"/>
          <w:sz w:val="32"/>
          <w:szCs w:val="32"/>
          <w14:textFill>
            <w14:solidFill>
              <w14:schemeClr w14:val="tx1"/>
            </w14:solidFill>
          </w14:textFill>
        </w:rPr>
        <w:t>充分发挥文化在乡村振兴中的作用，既要补文化“短板”，也要促文化发展。一方面，要积极运用乡村文化。坚持以文化引领乡村振兴发展，深入挖掘乡村生活方式、乡村生产方式、乡村空间形态等在地文化，有条件的地方进一步放大文化经济效应，大力推进“文化旅游+美丽乡村”“产业帮扶+乡村振兴”，激活文化产业新动能，为美丽乡村建设的产业振兴赋予文化附加值。另一方面，要加大乡村文化信息化改造。用市场经济眼光、互联网思维推进仙桃文化产业线上加力发展，充分发挥新媒体传播速度快、吸附能力强特点，通过创新文创产品的提档升级，广泛运用电商、直播等新型社交平台推介售卖，赋予传统文化更多的经济属性，进一步强化乡村文化对年轻人的吸附功能，对更多在外游子的吸引功能，为助力乡村振兴发展提供动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r>
        <w:rPr>
          <w:rFonts w:hint="default" w:ascii="Times New Roman" w:hAnsi="Times New Roman"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让择校成为家长永远的记忆</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w:t>
      </w:r>
      <w:r>
        <w:rPr>
          <w:rFonts w:hint="default" w:ascii="仿宋_GB2312" w:hAnsi="仿宋_GB2312" w:eastAsia="仿宋_GB2312" w:cs="仿宋_GB2312"/>
          <w:b/>
          <w:bCs/>
          <w:color w:val="000000" w:themeColor="text1"/>
          <w:spacing w:val="-6"/>
          <w:sz w:val="32"/>
          <w:szCs w:val="32"/>
          <w:lang w:val="en-US" w:eastAsia="zh-CN"/>
          <w14:textFill>
            <w14:solidFill>
              <w14:schemeClr w14:val="tx1"/>
            </w14:solidFill>
          </w14:textFill>
        </w:rPr>
        <w:t>关于推进县域教联体建设，促进优质教育资源</w:t>
      </w:r>
      <w:r>
        <w:rPr>
          <w:rFonts w:hint="eastAsia" w:ascii="仿宋_GB2312" w:hAnsi="仿宋_GB2312" w:eastAsia="仿宋_GB2312" w:cs="仿宋_GB2312"/>
          <w:b/>
          <w:bCs/>
          <w:color w:val="000000" w:themeColor="text1"/>
          <w:spacing w:val="-6"/>
          <w:sz w:val="32"/>
          <w:szCs w:val="32"/>
          <w:lang w:val="en-US" w:eastAsia="zh-CN"/>
          <w14:textFill>
            <w14:solidFill>
              <w14:schemeClr w14:val="tx1"/>
            </w14:solidFill>
          </w14:textFill>
        </w:rPr>
        <w:t>共享</w:t>
      </w:r>
      <w:r>
        <w:rPr>
          <w:rFonts w:hint="default" w:ascii="仿宋_GB2312" w:hAnsi="仿宋_GB2312" w:eastAsia="仿宋_GB2312" w:cs="仿宋_GB2312"/>
          <w:b/>
          <w:bCs/>
          <w:color w:val="000000" w:themeColor="text1"/>
          <w:spacing w:val="-6"/>
          <w:sz w:val="32"/>
          <w:szCs w:val="32"/>
          <w:lang w:val="en-US" w:eastAsia="zh-CN"/>
          <w14:textFill>
            <w14:solidFill>
              <w14:schemeClr w14:val="tx1"/>
            </w14:solidFill>
          </w14:textFill>
        </w:rPr>
        <w:t>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bookmarkStart w:id="20" w:name="_Toc9703"/>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 xml:space="preserve">教育委员组  </w:t>
      </w:r>
      <w:bookmarkEnd w:id="20"/>
      <w:r>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陈丽</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s="Times New Roman"/>
          <w:color w:val="000000" w:themeColor="text1"/>
          <w:spacing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仙桃历来崇文重教，是教育大市，耕读传家的文化基因始终植根在仙桃老百姓心中，每年为国家输送一万名左右大学生，今年重点本科上线人数更是突破2000人大关，诞生了状元之乡、法学家群体和无沔不成处等佳话。</w:t>
      </w:r>
      <w:r>
        <w:rPr>
          <w:rFonts w:hint="eastAsia" w:eastAsia="仿宋_GB2312" w:cs="Times New Roman"/>
          <w:color w:val="000000" w:themeColor="text1"/>
          <w:spacing w:val="0"/>
          <w:sz w:val="32"/>
          <w:szCs w:val="32"/>
          <w:lang w:eastAsia="zh-CN"/>
          <w14:textFill>
            <w14:solidFill>
              <w14:schemeClr w14:val="tx1"/>
            </w14:solidFill>
          </w14:textFill>
        </w:rPr>
        <w:t>近年来，随着</w:t>
      </w:r>
      <w:r>
        <w:rPr>
          <w:rFonts w:hint="default" w:ascii="Times New Roman" w:hAnsi="Times New Roman" w:eastAsia="仿宋_GB2312" w:cs="Times New Roman"/>
          <w:color w:val="000000" w:themeColor="text1"/>
          <w:spacing w:val="0"/>
          <w:sz w:val="32"/>
          <w:szCs w:val="32"/>
          <w14:textFill>
            <w14:solidFill>
              <w14:schemeClr w14:val="tx1"/>
            </w14:solidFill>
          </w14:textFill>
        </w:rPr>
        <w:t>名人引领、名校效应，再加上城镇化进程加快，农村人口快速向城镇转移</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“择校”</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成为</w:t>
      </w:r>
      <w:r>
        <w:rPr>
          <w:rFonts w:hint="default" w:ascii="Times New Roman" w:hAnsi="Times New Roman" w:eastAsia="仿宋_GB2312" w:cs="Times New Roman"/>
          <w:color w:val="000000" w:themeColor="text1"/>
          <w:spacing w:val="0"/>
          <w:sz w:val="32"/>
          <w:szCs w:val="32"/>
          <w14:textFill>
            <w14:solidFill>
              <w14:schemeClr w14:val="tx1"/>
            </w14:solidFill>
          </w14:textFill>
        </w:rPr>
        <w:t>了让家长和学生</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最为</w:t>
      </w:r>
      <w:r>
        <w:rPr>
          <w:rFonts w:hint="default" w:ascii="Times New Roman" w:hAnsi="Times New Roman" w:eastAsia="仿宋_GB2312" w:cs="Times New Roman"/>
          <w:color w:val="000000" w:themeColor="text1"/>
          <w:spacing w:val="0"/>
          <w:sz w:val="32"/>
          <w:szCs w:val="32"/>
          <w14:textFill>
            <w14:solidFill>
              <w14:schemeClr w14:val="tx1"/>
            </w14:solidFill>
          </w14:textFill>
        </w:rPr>
        <w:t>苦恼</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的事</w:t>
      </w:r>
      <w:r>
        <w:rPr>
          <w:rFonts w:hint="default" w:ascii="Times New Roman" w:hAnsi="Times New Roman" w:eastAsia="仿宋_GB2312" w:cs="Times New Roman"/>
          <w:color w:val="000000" w:themeColor="text1"/>
          <w:spacing w:val="0"/>
          <w:sz w:val="32"/>
          <w:szCs w:val="32"/>
          <w14:textFill>
            <w14:solidFill>
              <w14:schemeClr w14:val="tx1"/>
            </w14:solidFill>
          </w14:textFill>
        </w:rPr>
        <w:t>，根本原因还是</w:t>
      </w:r>
      <w:r>
        <w:rPr>
          <w:rFonts w:hint="eastAsia" w:eastAsia="仿宋_GB2312" w:cs="Times New Roman"/>
          <w:color w:val="000000" w:themeColor="text1"/>
          <w:spacing w:val="0"/>
          <w:sz w:val="32"/>
          <w:szCs w:val="32"/>
          <w:lang w:eastAsia="zh-CN"/>
          <w14:textFill>
            <w14:solidFill>
              <w14:schemeClr w14:val="tx1"/>
            </w14:solidFill>
          </w14:textFill>
        </w:rPr>
        <w:t>城乡</w:t>
      </w:r>
      <w:r>
        <w:rPr>
          <w:rFonts w:hint="default" w:ascii="Times New Roman" w:hAnsi="Times New Roman" w:eastAsia="仿宋_GB2312" w:cs="Times New Roman"/>
          <w:color w:val="000000" w:themeColor="text1"/>
          <w:spacing w:val="0"/>
          <w:sz w:val="32"/>
          <w:szCs w:val="32"/>
          <w14:textFill>
            <w14:solidFill>
              <w14:schemeClr w14:val="tx1"/>
            </w14:solidFill>
          </w14:textFill>
        </w:rPr>
        <w:t>教育资源不均衡</w:t>
      </w:r>
      <w:r>
        <w:rPr>
          <w:rFonts w:hint="eastAsia" w:eastAsia="仿宋_GB2312" w:cs="Times New Roman"/>
          <w:color w:val="000000" w:themeColor="text1"/>
          <w:spacing w:val="0"/>
          <w:sz w:val="32"/>
          <w:szCs w:val="32"/>
          <w:lang w:eastAsia="zh-CN"/>
          <w14:textFill>
            <w14:solidFill>
              <w14:schemeClr w14:val="tx1"/>
            </w14:solidFill>
          </w14:textFill>
        </w:rPr>
        <w:t>与家长</w:t>
      </w:r>
      <w:r>
        <w:rPr>
          <w:rFonts w:hint="default" w:ascii="Times New Roman" w:hAnsi="Times New Roman" w:eastAsia="仿宋_GB2312" w:cs="Times New Roman"/>
          <w:color w:val="000000" w:themeColor="text1"/>
          <w:spacing w:val="0"/>
          <w:sz w:val="32"/>
          <w:szCs w:val="32"/>
          <w14:textFill>
            <w14:solidFill>
              <w14:schemeClr w14:val="tx1"/>
            </w14:solidFill>
          </w14:textFill>
        </w:rPr>
        <w:t>学生</w:t>
      </w:r>
      <w:r>
        <w:rPr>
          <w:rFonts w:hint="eastAsia" w:eastAsia="仿宋_GB2312" w:cs="Times New Roman"/>
          <w:color w:val="000000" w:themeColor="text1"/>
          <w:spacing w:val="0"/>
          <w:sz w:val="32"/>
          <w:szCs w:val="32"/>
          <w:lang w:eastAsia="zh-CN"/>
          <w14:textFill>
            <w14:solidFill>
              <w14:schemeClr w14:val="tx1"/>
            </w14:solidFill>
          </w14:textFill>
        </w:rPr>
        <w:t>对</w:t>
      </w:r>
      <w:r>
        <w:rPr>
          <w:rFonts w:hint="default" w:ascii="Times New Roman" w:hAnsi="Times New Roman" w:eastAsia="仿宋_GB2312" w:cs="Times New Roman"/>
          <w:color w:val="000000" w:themeColor="text1"/>
          <w:spacing w:val="0"/>
          <w:sz w:val="32"/>
          <w:szCs w:val="32"/>
          <w14:textFill>
            <w14:solidFill>
              <w14:schemeClr w14:val="tx1"/>
            </w14:solidFill>
          </w14:textFill>
        </w:rPr>
        <w:t>优质教育</w:t>
      </w:r>
      <w:r>
        <w:rPr>
          <w:rFonts w:hint="eastAsia" w:eastAsia="仿宋_GB2312" w:cs="Times New Roman"/>
          <w:color w:val="000000" w:themeColor="text1"/>
          <w:spacing w:val="0"/>
          <w:sz w:val="32"/>
          <w:szCs w:val="32"/>
          <w:lang w:eastAsia="zh-CN"/>
          <w14:textFill>
            <w14:solidFill>
              <w14:schemeClr w14:val="tx1"/>
            </w14:solidFill>
          </w14:textFill>
        </w:rPr>
        <w:t>需求的矛盾。</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color w:val="000000" w:themeColor="text1"/>
          <w:spacing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今年教育部提出全面推进城乡学校共同体建设，省第十二次党代会对教联体建设作出了明确部署,省教育厅将此项工作作为重点推进的教育改革项目，努力构建优质均衡公共教育服务体系，实现城乡基本公共教育服务均等化。近几年，</w:t>
      </w:r>
      <w:r>
        <w:rPr>
          <w:rFonts w:hint="eastAsia" w:eastAsia="仿宋_GB2312" w:cs="Times New Roman"/>
          <w:color w:val="000000" w:themeColor="text1"/>
          <w:spacing w:val="0"/>
          <w:sz w:val="32"/>
          <w:szCs w:val="32"/>
          <w:lang w:eastAsia="zh-CN"/>
          <w14:textFill>
            <w14:solidFill>
              <w14:schemeClr w14:val="tx1"/>
            </w14:solidFill>
          </w14:textFill>
        </w:rPr>
        <w:t>在市委、市政府正确领导下，</w:t>
      </w:r>
      <w:r>
        <w:rPr>
          <w:rFonts w:hint="default" w:ascii="Times New Roman" w:hAnsi="Times New Roman" w:eastAsia="仿宋_GB2312" w:cs="Times New Roman"/>
          <w:color w:val="000000" w:themeColor="text1"/>
          <w:spacing w:val="0"/>
          <w:sz w:val="32"/>
          <w:szCs w:val="32"/>
          <w14:textFill>
            <w14:solidFill>
              <w14:schemeClr w14:val="tx1"/>
            </w14:solidFill>
          </w14:textFill>
        </w:rPr>
        <w:t>市教育局组建了11个教育集团，就开展了教联体建设试点作了大胆尝试，实验二小大洪校区、沔阳小学黄金大道校区、沔阳小学沔街校区、仙桃三中风和日丽校区等均是在集团化办学模式的引领、推动下逐渐成为家长心目中的名校，在一定程度上化解了学生“上学难”、家长“择校热”的问题，保证了城区义务阶段招生工作相对平稳有序，但在实际的座谈与走访中，教联体的建设还存在着一些问题，具体表现在：</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一是思想认识不足</w:t>
      </w:r>
      <w:r>
        <w:rPr>
          <w:rFonts w:hint="default" w:ascii="Times New Roman" w:hAnsi="Times New Roman" w:eastAsia="仿宋_GB2312" w:cs="Times New Roman"/>
          <w:color w:val="000000" w:themeColor="text1"/>
          <w:spacing w:val="0"/>
          <w:sz w:val="32"/>
          <w:szCs w:val="32"/>
          <w14:textFill>
            <w14:solidFill>
              <w14:schemeClr w14:val="tx1"/>
            </w14:solidFill>
          </w14:textFill>
        </w:rPr>
        <w:t>。部分核心校校长认为教联体的建设只是名目和形式上的改变，对教联体建设的意义及实际的效能认识不足</w:t>
      </w:r>
      <w:r>
        <w:rPr>
          <w:rFonts w:hint="default" w:ascii="Times New Roman" w:hAnsi="Times New Roman" w:eastAsia="仿宋_GB2312" w:cs="Times New Roman"/>
          <w:b/>
          <w:color w:val="000000" w:themeColor="text1"/>
          <w:spacing w:val="0"/>
          <w:sz w:val="32"/>
          <w:szCs w:val="32"/>
          <w14:textFill>
            <w14:solidFill>
              <w14:schemeClr w14:val="tx1"/>
            </w14:solidFill>
          </w14:textFill>
        </w:rPr>
        <w:t>。二是重点把握不准</w:t>
      </w:r>
      <w:r>
        <w:rPr>
          <w:rFonts w:hint="default" w:ascii="Times New Roman" w:hAnsi="Times New Roman" w:eastAsia="仿宋_GB2312" w:cs="Times New Roman"/>
          <w:color w:val="000000" w:themeColor="text1"/>
          <w:spacing w:val="0"/>
          <w:sz w:val="32"/>
          <w:szCs w:val="32"/>
          <w14:textFill>
            <w14:solidFill>
              <w14:schemeClr w14:val="tx1"/>
            </w14:solidFill>
          </w14:textFill>
        </w:rPr>
        <w:t>。教联体建设只停留在校名的统一、校园文化的布置，管理程序的变更，教联体内学校在教师队伍建设、教学教研开展等方面无实质性内容，未进行深度融合</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。三是延伸拓展不够</w:t>
      </w:r>
      <w:r>
        <w:rPr>
          <w:rFonts w:hint="default" w:ascii="Times New Roman" w:hAnsi="Times New Roman" w:eastAsia="仿宋_GB2312" w:cs="Times New Roman"/>
          <w:color w:val="000000" w:themeColor="text1"/>
          <w:spacing w:val="0"/>
          <w:sz w:val="32"/>
          <w:szCs w:val="32"/>
          <w14:textFill>
            <w14:solidFill>
              <w14:schemeClr w14:val="tx1"/>
            </w14:solidFill>
          </w14:textFill>
        </w:rPr>
        <w:t>。在近两年的探索、实施过程中，城区学校教联体的建设模式基本成型，但对农村成员校的辐射引领仍显不够，在教师配置、资金投入等方面依然欠缺。</w:t>
      </w:r>
      <w:r>
        <w:rPr>
          <w:rFonts w:hint="eastAsia" w:ascii="仿宋_GB2312" w:hAnsi="仿宋_GB2312" w:eastAsia="仿宋_GB2312" w:cs="仿宋_GB2312"/>
          <w:b w:val="0"/>
          <w:bCs/>
          <w:color w:val="000000" w:themeColor="text1"/>
          <w:spacing w:val="0"/>
          <w:sz w:val="32"/>
          <w:szCs w:val="32"/>
          <w14:textFill>
            <w14:solidFill>
              <w14:schemeClr w14:val="tx1"/>
            </w14:solidFill>
          </w14:textFill>
        </w:rPr>
        <w:t>为此，我建议：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Times New Roman" w:hAnsi="Times New Roman" w:eastAsia="楷体_GB2312" w:cs="Times New Roman"/>
          <w:bCs/>
          <w:color w:val="000000" w:themeColor="text1"/>
          <w:spacing w:val="0"/>
          <w:sz w:val="32"/>
          <w:szCs w:val="32"/>
          <w14:textFill>
            <w14:solidFill>
              <w14:schemeClr w14:val="tx1"/>
            </w14:solidFill>
          </w14:textFill>
        </w:rPr>
        <w:t>1.坚持“共同缔造”，重在</w:t>
      </w:r>
      <w:r>
        <w:rPr>
          <w:rFonts w:hint="eastAsia" w:eastAsia="楷体_GB2312" w:cs="Times New Roman"/>
          <w:bCs/>
          <w:color w:val="000000" w:themeColor="text1"/>
          <w:spacing w:val="0"/>
          <w:sz w:val="32"/>
          <w:szCs w:val="32"/>
          <w:lang w:eastAsia="zh-CN"/>
          <w14:textFill>
            <w14:solidFill>
              <w14:schemeClr w14:val="tx1"/>
            </w14:solidFill>
          </w14:textFill>
        </w:rPr>
        <w:t>导向</w:t>
      </w:r>
      <w:r>
        <w:rPr>
          <w:rFonts w:hint="default" w:ascii="Times New Roman" w:hAnsi="Times New Roman" w:eastAsia="楷体_GB2312" w:cs="Times New Roman"/>
          <w:bCs/>
          <w:color w:val="000000" w:themeColor="text1"/>
          <w:spacing w:val="0"/>
          <w:sz w:val="32"/>
          <w:szCs w:val="32"/>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教联体建设是教育部、省委、省教育厅的重要举措，是共同缔造理念、高水平推进县域义务教育优质均衡发展的重要抓手。省教育厅制定出台《关于推动教联体建设提升教育基本公共服务水平的指导意见》，提出的内部治理、教师队伍、教学资源、建设成效、家校社协同、条件保障等六大机制，均强调要在“共”字上做文章。</w:t>
      </w:r>
      <w:r>
        <w:rPr>
          <w:rFonts w:hint="eastAsia" w:eastAsia="仿宋_GB2312" w:cs="Times New Roman"/>
          <w:color w:val="000000" w:themeColor="text1"/>
          <w:spacing w:val="0"/>
          <w:sz w:val="32"/>
          <w:szCs w:val="32"/>
          <w:lang w:eastAsia="zh-CN"/>
          <w14:textFill>
            <w14:solidFill>
              <w14:schemeClr w14:val="tx1"/>
            </w14:solidFill>
          </w14:textFill>
        </w:rPr>
        <w:t>这是政策导向，更是基础教育发展方向，</w:t>
      </w:r>
      <w:r>
        <w:rPr>
          <w:rFonts w:hint="default" w:ascii="Times New Roman" w:hAnsi="Times New Roman" w:eastAsia="仿宋_GB2312" w:cs="Times New Roman"/>
          <w:color w:val="000000" w:themeColor="text1"/>
          <w:spacing w:val="0"/>
          <w:sz w:val="32"/>
          <w:szCs w:val="32"/>
          <w14:textFill>
            <w14:solidFill>
              <w14:schemeClr w14:val="tx1"/>
            </w14:solidFill>
          </w14:textFill>
        </w:rPr>
        <w:t>教育部门要高度重视，</w:t>
      </w:r>
      <w:r>
        <w:rPr>
          <w:rFonts w:hint="eastAsia" w:eastAsia="仿宋_GB2312" w:cs="Times New Roman"/>
          <w:color w:val="000000" w:themeColor="text1"/>
          <w:spacing w:val="0"/>
          <w:sz w:val="32"/>
          <w:szCs w:val="32"/>
          <w:lang w:eastAsia="zh-CN"/>
          <w14:textFill>
            <w14:solidFill>
              <w14:schemeClr w14:val="tx1"/>
            </w14:solidFill>
          </w14:textFill>
        </w:rPr>
        <w:t>注重政策落实落地，</w:t>
      </w:r>
      <w:r>
        <w:rPr>
          <w:rFonts w:hint="default" w:ascii="Times New Roman" w:hAnsi="Times New Roman" w:eastAsia="仿宋_GB2312" w:cs="Times New Roman"/>
          <w:color w:val="000000" w:themeColor="text1"/>
          <w:spacing w:val="0"/>
          <w:sz w:val="32"/>
          <w:szCs w:val="32"/>
          <w14:textFill>
            <w14:solidFill>
              <w14:schemeClr w14:val="tx1"/>
            </w14:solidFill>
          </w14:textFill>
        </w:rPr>
        <w:t>要同机构编制、发展改革、财政、人力资源社会保障、自然资源、住房城乡建设等部门加强沟通协调，凝聚发展共识、共谋发展愿景，在学校建设、经费支持及教职工编制、工资待遇保障、职称评聘等方面，切实为教联体建设营造良好的政策环境。</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Times New Roman" w:hAnsi="Times New Roman" w:eastAsia="楷体_GB2312" w:cs="Times New Roman"/>
          <w:bCs/>
          <w:color w:val="000000" w:themeColor="text1"/>
          <w:spacing w:val="0"/>
          <w:sz w:val="32"/>
          <w:szCs w:val="32"/>
          <w14:textFill>
            <w14:solidFill>
              <w14:schemeClr w14:val="tx1"/>
            </w14:solidFill>
          </w14:textFill>
        </w:rPr>
        <w:t>2.谋划“共同发展”，重在路径。</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一是打造多元模式。</w:t>
      </w:r>
      <w:r>
        <w:rPr>
          <w:rFonts w:hint="default" w:ascii="Times New Roman" w:hAnsi="Times New Roman" w:eastAsia="仿宋_GB2312" w:cs="Times New Roman"/>
          <w:bCs/>
          <w:color w:val="000000" w:themeColor="text1"/>
          <w:spacing w:val="0"/>
          <w:sz w:val="32"/>
          <w:szCs w:val="32"/>
          <w14:textFill>
            <w14:solidFill>
              <w14:schemeClr w14:val="tx1"/>
            </w14:solidFill>
          </w14:textFill>
        </w:rPr>
        <w:t>有序增加“融合型”比例，目前仙桃市教联体建设主要以“共建型”</w:t>
      </w:r>
      <w:r>
        <w:rPr>
          <w:rFonts w:hint="default" w:ascii="Times New Roman" w:hAnsi="Times New Roman" w:eastAsia="仿宋_GB2312" w:cs="Times New Roman"/>
          <w:color w:val="000000" w:themeColor="text1"/>
          <w:spacing w:val="0"/>
          <w:sz w:val="32"/>
          <w:szCs w:val="32"/>
          <w14:textFill>
            <w14:solidFill>
              <w14:schemeClr w14:val="tx1"/>
            </w14:solidFill>
          </w14:textFill>
        </w:rPr>
        <w:t>类型为主，不利于城乡协同发展，要突破思维定势、加强精准分析，支持和鼓励核心校与成员校全面重组，建成一部分“融合型”教联体，实行体内人事、教师、经费、教学、资源等无障碍调配，一体化管理。</w:t>
      </w:r>
      <w:r>
        <w:rPr>
          <w:rFonts w:hint="default" w:ascii="Times New Roman" w:hAnsi="Times New Roman" w:eastAsia="仿宋_GB2312" w:cs="Times New Roman"/>
          <w:b/>
          <w:color w:val="000000" w:themeColor="text1"/>
          <w:spacing w:val="0"/>
          <w:sz w:val="32"/>
          <w:szCs w:val="32"/>
          <w14:textFill>
            <w14:solidFill>
              <w14:schemeClr w14:val="tx1"/>
            </w14:solidFill>
          </w14:textFill>
        </w:rPr>
        <w:t>二是打造多才队伍。</w:t>
      </w:r>
      <w:r>
        <w:rPr>
          <w:rFonts w:hint="default" w:ascii="Times New Roman" w:hAnsi="Times New Roman" w:eastAsia="仿宋_GB2312" w:cs="Times New Roman"/>
          <w:bCs/>
          <w:color w:val="000000" w:themeColor="text1"/>
          <w:spacing w:val="0"/>
          <w:sz w:val="32"/>
          <w:szCs w:val="32"/>
          <w14:textFill>
            <w14:solidFill>
              <w14:schemeClr w14:val="tx1"/>
            </w14:solidFill>
          </w14:textFill>
        </w:rPr>
        <w:t>多管齐下强化教师队伍共用共管，在共同体内核定的编制、岗位总量范围内，实行教师补充、职称评聘、绩效分配、评先评优等统一管理；教师交流轮岗要常态化，紧缺学科教师可打通使用，落实优秀骨干教师送教、走教</w:t>
      </w:r>
      <w:r>
        <w:rPr>
          <w:rFonts w:hint="default" w:ascii="Times New Roman" w:hAnsi="Times New Roman" w:eastAsia="仿宋_GB2312" w:cs="Times New Roman"/>
          <w:color w:val="000000" w:themeColor="text1"/>
          <w:spacing w:val="0"/>
          <w:sz w:val="32"/>
          <w:szCs w:val="32"/>
          <w14:textFill>
            <w14:solidFill>
              <w14:schemeClr w14:val="tx1"/>
            </w14:solidFill>
          </w14:textFill>
        </w:rPr>
        <w:t>制度；要加大教师队伍培训力度，足额保障教师培训经费。</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三是打造多彩课堂。</w:t>
      </w:r>
      <w:r>
        <w:rPr>
          <w:rFonts w:hint="default" w:ascii="Times New Roman" w:hAnsi="Times New Roman" w:eastAsia="仿宋_GB2312" w:cs="Times New Roman"/>
          <w:bCs/>
          <w:color w:val="000000" w:themeColor="text1"/>
          <w:spacing w:val="0"/>
          <w:sz w:val="32"/>
          <w:szCs w:val="32"/>
          <w14:textFill>
            <w14:solidFill>
              <w14:schemeClr w14:val="tx1"/>
            </w14:solidFill>
          </w14:textFill>
        </w:rPr>
        <w:t>加强教学教研共建共享，要围绕核心素养导向，强化校本教研、集体备课，激发学生学习兴趣，打造</w:t>
      </w:r>
      <w:r>
        <w:rPr>
          <w:rFonts w:hint="default" w:ascii="Times New Roman" w:hAnsi="Times New Roman" w:eastAsia="仿宋_GB2312" w:cs="Times New Roman"/>
          <w:color w:val="000000" w:themeColor="text1"/>
          <w:spacing w:val="0"/>
          <w:sz w:val="32"/>
          <w:szCs w:val="32"/>
          <w14:textFill>
            <w14:solidFill>
              <w14:schemeClr w14:val="tx1"/>
            </w14:solidFill>
          </w14:textFill>
        </w:rPr>
        <w:t>生动课堂、精彩课堂。同时，校长是学校行走的文化，核心校校长要在校园文化建设方面统一规划、统一建设、统一实施，以文化人，以文育人。</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Times New Roman" w:hAnsi="Times New Roman" w:eastAsia="楷体_GB2312" w:cs="Times New Roman"/>
          <w:bCs/>
          <w:color w:val="000000" w:themeColor="text1"/>
          <w:spacing w:val="0"/>
          <w:sz w:val="32"/>
          <w:szCs w:val="32"/>
          <w14:textFill>
            <w14:solidFill>
              <w14:schemeClr w14:val="tx1"/>
            </w14:solidFill>
          </w14:textFill>
        </w:rPr>
        <w:t>3.聚焦“共同进步”，重在农村。</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一是坚持“城乡一体、重在农村”。</w:t>
      </w:r>
      <w:r>
        <w:rPr>
          <w:rFonts w:hint="default" w:ascii="Times New Roman" w:hAnsi="Times New Roman" w:eastAsia="仿宋_GB2312" w:cs="Times New Roman"/>
          <w:color w:val="000000" w:themeColor="text1"/>
          <w:spacing w:val="0"/>
          <w:sz w:val="32"/>
          <w:szCs w:val="32"/>
          <w14:textFill>
            <w14:solidFill>
              <w14:schemeClr w14:val="tx1"/>
            </w14:solidFill>
          </w14:textFill>
        </w:rPr>
        <w:t>统筹教育资源配置，着力提高农村教育质量，大力提升义务教育承载能力</w:t>
      </w:r>
      <w:r>
        <w:rPr>
          <w:rFonts w:hint="eastAsia" w:eastAsia="仿宋_GB2312" w:cs="Times New Roman"/>
          <w:color w:val="000000" w:themeColor="text1"/>
          <w:spacing w:val="0"/>
          <w:sz w:val="32"/>
          <w:szCs w:val="32"/>
          <w:lang w:eastAsia="zh-CN"/>
          <w14:textFill>
            <w14:solidFill>
              <w14:schemeClr w14:val="tx1"/>
            </w14:solidFill>
          </w14:textFill>
        </w:rPr>
        <w:t>，不断增强农村教育对当地人口、生源的吸附能力。</w:t>
      </w:r>
      <w:r>
        <w:rPr>
          <w:rFonts w:hint="default" w:ascii="Times New Roman" w:hAnsi="Times New Roman" w:eastAsia="仿宋_GB2312" w:cs="Times New Roman"/>
          <w:b/>
          <w:color w:val="000000" w:themeColor="text1"/>
          <w:spacing w:val="0"/>
          <w:sz w:val="32"/>
          <w:szCs w:val="32"/>
          <w14:textFill>
            <w14:solidFill>
              <w14:schemeClr w14:val="tx1"/>
            </w14:solidFill>
          </w14:textFill>
        </w:rPr>
        <w:t>二是统筹“乡村小规模、寄宿制学校”。</w:t>
      </w:r>
      <w:r>
        <w:rPr>
          <w:rFonts w:hint="default" w:ascii="Times New Roman" w:hAnsi="Times New Roman" w:eastAsia="仿宋_GB2312" w:cs="Times New Roman"/>
          <w:color w:val="000000" w:themeColor="text1"/>
          <w:spacing w:val="0"/>
          <w:sz w:val="32"/>
          <w:szCs w:val="32"/>
          <w14:textFill>
            <w14:solidFill>
              <w14:schemeClr w14:val="tx1"/>
            </w14:solidFill>
          </w14:textFill>
        </w:rPr>
        <w:t>持续推进义务教育薄弱环节改善与能力提升工作，加强乡村小规模学校、乡镇寄宿制学校建设，支持建设一批小而美、小而优的“乡村温馨校园”。</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三是坚定“最优秀的教师、教最优秀的学生”。</w:t>
      </w:r>
      <w:r>
        <w:rPr>
          <w:rFonts w:hint="default" w:ascii="Times New Roman" w:hAnsi="Times New Roman" w:eastAsia="仿宋_GB2312" w:cs="Times New Roman"/>
          <w:color w:val="000000" w:themeColor="text1"/>
          <w:spacing w:val="0"/>
          <w:sz w:val="32"/>
          <w:szCs w:val="32"/>
          <w14:textFill>
            <w14:solidFill>
              <w14:schemeClr w14:val="tx1"/>
            </w14:solidFill>
          </w14:textFill>
        </w:rPr>
        <w:t>大力实施省级优师计划、乡村教师定向培养计划，为农村学校定向培养一批本科层次师范生。落实乡村中小学教师岗位设置倾斜政策。落实并逐步提高乡村教师生活补助标准，不断提升乡村教师地位待遇，形成“学校越偏远、条件越艰苦、从教时间越长、待遇越高”的局面。要继续实施农村教师周转宿舍建设奖补政策，引导各地加大农村教师周转宿舍建设力度。</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r>
        <w:rPr>
          <w:rFonts w:hint="default" w:ascii="Times New Roman" w:hAnsi="Times New Roman" w:cs="Times New Roman"/>
          <w:color w:val="000000" w:themeColor="text1"/>
          <w:spacing w:val="0"/>
          <w:sz w:val="32"/>
          <w:szCs w:val="32"/>
          <w14:textFill>
            <w14:solidFill>
              <w14:schemeClr w14:val="tx1"/>
            </w14:solidFill>
          </w14:textFill>
        </w:rPr>
        <w:br w:type="page"/>
      </w:r>
    </w:p>
    <w:p>
      <w:pPr>
        <w:pStyle w:val="7"/>
        <w:keepNext w:val="0"/>
        <w:keepLines w:val="0"/>
        <w:pageBreakBefore w:val="0"/>
        <w:widowControl w:val="0"/>
        <w:shd w:val="clear"/>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启动仙桃科学城建设  强化创新策源动能</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综合一委员组  李国才</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pP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在新一轮科技革命和产业革命中，科技创新引领力成为全球城市的重要标签，科技创新策源力成为评价城市能级与核心竞争力的标志。四化同步发展，只有增强科技创新引领力和策源力，才能走得更好更快更远，而科学城是增强科技创新引领力和策源力的最好载体。启动和建设科学城是创新引领全省四化同步发展示范区建设的重要抓手，更是确保仙桃在全省保持竞争优势的关键“砝码”。为此，建议如下：</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1.高位推动、整合资源。</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成立由市委市政府主要领导为组长，仙桃高新区主要领导为常务副组长，各相关职能部门主要领导为成员的仙桃科学城建设领导小组，谋划推动仙桃科学城建设。</w:t>
      </w:r>
      <w:r>
        <w:rPr>
          <w:rFonts w:hint="default" w:ascii="Times New Roman" w:hAnsi="Times New Roman" w:eastAsia="仿宋_GB2312" w:cs="Times New Roman"/>
          <w:color w:val="000000" w:themeColor="text1"/>
          <w:spacing w:val="0"/>
          <w:kern w:val="2"/>
          <w:sz w:val="32"/>
          <w:szCs w:val="32"/>
          <w:lang w:val="en-US" w:eastAsia="zh-CN" w:bidi="ar-SA"/>
          <w14:textFill>
            <w14:solidFill>
              <w14:schemeClr w14:val="tx1"/>
            </w14:solidFill>
          </w14:textFill>
        </w:rPr>
        <w:t>建议领导小组尽快组织专家及有关人员，外出学习考察省内外先进经验，明确科学城建设的功能定位及重点任务，厘清优先发展方向和特色。</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各部门要通力协作，汇聚要素和政策资源，举全市之力打造仙桃科学城；构建</w:t>
      </w:r>
      <w:r>
        <w:rPr>
          <w:rFonts w:hint="eastAsia" w:eastAsia="仿宋_GB2312" w:cs="Times New Roman"/>
          <w:bCs/>
          <w:color w:val="000000" w:themeColor="text1"/>
          <w:spacing w:val="0"/>
          <w:kern w:val="2"/>
          <w:sz w:val="32"/>
          <w:szCs w:val="32"/>
          <w:lang w:val="en-US" w:eastAsia="zh-CN" w:bidi="ar-SA"/>
          <w14:textFill>
            <w14:solidFill>
              <w14:schemeClr w14:val="tx1"/>
            </w14:solidFill>
          </w14:textFill>
        </w:rPr>
        <w:t>起</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政策共商、信息共享、主动服务、整体联动的合作机制</w:t>
      </w:r>
      <w:r>
        <w:rPr>
          <w:rFonts w:hint="eastAsia" w:eastAsia="仿宋_GB2312" w:cs="Times New Roman"/>
          <w:bCs/>
          <w:color w:val="000000" w:themeColor="text1"/>
          <w:spacing w:val="0"/>
          <w:kern w:val="2"/>
          <w:sz w:val="32"/>
          <w:szCs w:val="32"/>
          <w:lang w:val="en-US" w:eastAsia="zh-CN" w:bidi="ar-SA"/>
          <w14:textFill>
            <w14:solidFill>
              <w14:schemeClr w14:val="tx1"/>
            </w14:solidFill>
          </w14:textFill>
        </w:rPr>
        <w:t>。</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2.规划先行、科学选址。</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建议仙桃高新区突破科技创新体系中的难点和痛点，打造集中连片、协同互补、联动发展的仙桃科学城。制定好总体规划，规划范围包括仙桃高新区大部分区域，以及其他部分区域，分为核心区和协调区</w:t>
      </w:r>
      <w:r>
        <w:rPr>
          <w:rFonts w:hint="eastAsia" w:eastAsia="仿宋_GB2312" w:cs="Times New Roman"/>
          <w:bCs/>
          <w:color w:val="000000" w:themeColor="text1"/>
          <w:spacing w:val="0"/>
          <w:kern w:val="2"/>
          <w:sz w:val="32"/>
          <w:szCs w:val="32"/>
          <w:lang w:val="en-US" w:eastAsia="zh-CN" w:bidi="ar-SA"/>
          <w14:textFill>
            <w14:solidFill>
              <w14:schemeClr w14:val="tx1"/>
            </w14:solidFill>
          </w14:textFill>
        </w:rPr>
        <w:t>，</w:t>
      </w:r>
      <w:r>
        <w:rPr>
          <w:rFonts w:hint="default" w:ascii="Times New Roman" w:hAnsi="Times New Roman" w:eastAsia="仿宋_GB2312" w:cs="Times New Roman"/>
          <w:color w:val="000000" w:themeColor="text1"/>
          <w:spacing w:val="0"/>
          <w:sz w:val="32"/>
          <w:szCs w:val="32"/>
          <w:lang w:eastAsia="zh-CN"/>
          <w14:textFill>
            <w14:solidFill>
              <w14:schemeClr w14:val="tx1"/>
            </w14:solidFill>
          </w14:textFill>
        </w:rPr>
        <w:t>初步</w:t>
      </w:r>
      <w:r>
        <w:rPr>
          <w:rFonts w:hint="default" w:ascii="Times New Roman" w:hAnsi="Times New Roman" w:eastAsia="仿宋_GB2312" w:cs="Times New Roman"/>
          <w:color w:val="000000" w:themeColor="text1"/>
          <w:spacing w:val="0"/>
          <w:sz w:val="32"/>
          <w:szCs w:val="32"/>
          <w14:textFill>
            <w14:solidFill>
              <w14:schemeClr w14:val="tx1"/>
            </w14:solidFill>
          </w14:textFill>
        </w:rPr>
        <w:t>形成</w:t>
      </w:r>
      <w:bookmarkStart w:id="21" w:name="_Hlk65591982"/>
      <w:r>
        <w:rPr>
          <w:rFonts w:hint="default" w:ascii="Times New Roman" w:hAnsi="Times New Roman" w:eastAsia="仿宋_GB2312" w:cs="Times New Roman"/>
          <w:color w:val="000000" w:themeColor="text1"/>
          <w:spacing w:val="0"/>
          <w:sz w:val="32"/>
          <w:szCs w:val="32"/>
          <w14:textFill>
            <w14:solidFill>
              <w14:schemeClr w14:val="tx1"/>
            </w14:solidFill>
          </w14:textFill>
        </w:rPr>
        <w:t>“</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一</w:t>
      </w:r>
      <w:r>
        <w:rPr>
          <w:rFonts w:hint="default" w:ascii="Times New Roman" w:hAnsi="Times New Roman" w:eastAsia="仿宋_GB2312" w:cs="Times New Roman"/>
          <w:b/>
          <w:color w:val="000000" w:themeColor="text1"/>
          <w:spacing w:val="0"/>
          <w:sz w:val="32"/>
          <w:szCs w:val="32"/>
          <w:lang w:eastAsia="zh-CN"/>
          <w14:textFill>
            <w14:solidFill>
              <w14:schemeClr w14:val="tx1"/>
            </w14:solidFill>
          </w14:textFill>
        </w:rPr>
        <w:t>区</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、一</w:t>
      </w:r>
      <w:r>
        <w:rPr>
          <w:rFonts w:hint="default" w:ascii="Times New Roman" w:hAnsi="Times New Roman" w:eastAsia="仿宋_GB2312" w:cs="Times New Roman"/>
          <w:b/>
          <w:color w:val="000000" w:themeColor="text1"/>
          <w:spacing w:val="0"/>
          <w:sz w:val="32"/>
          <w:szCs w:val="32"/>
          <w:lang w:eastAsia="zh-CN"/>
          <w14:textFill>
            <w14:solidFill>
              <w14:schemeClr w14:val="tx1"/>
            </w14:solidFill>
          </w14:textFill>
        </w:rPr>
        <w:t>心</w:t>
      </w:r>
      <w:r>
        <w:rPr>
          <w:rFonts w:hint="default" w:ascii="Times New Roman" w:hAnsi="Times New Roman" w:eastAsia="仿宋_GB2312" w:cs="Times New Roman"/>
          <w:b/>
          <w:color w:val="000000" w:themeColor="text1"/>
          <w:spacing w:val="0"/>
          <w:sz w:val="32"/>
          <w:szCs w:val="32"/>
          <w14:textFill>
            <w14:solidFill>
              <w14:schemeClr w14:val="tx1"/>
            </w14:solidFill>
          </w14:textFill>
        </w:rPr>
        <w:t>、</w:t>
      </w:r>
      <w:r>
        <w:rPr>
          <w:rFonts w:hint="default" w:ascii="Times New Roman" w:hAnsi="Times New Roman" w:eastAsia="仿宋_GB2312" w:cs="Times New Roman"/>
          <w:b/>
          <w:color w:val="000000" w:themeColor="text1"/>
          <w:spacing w:val="0"/>
          <w:sz w:val="32"/>
          <w:szCs w:val="32"/>
          <w:lang w:eastAsia="zh-CN"/>
          <w14:textFill>
            <w14:solidFill>
              <w14:schemeClr w14:val="tx1"/>
            </w14:solidFill>
          </w14:textFill>
        </w:rPr>
        <w:t>一城、两园、两组团</w:t>
      </w:r>
      <w:r>
        <w:rPr>
          <w:rFonts w:hint="default" w:ascii="Times New Roman" w:hAnsi="Times New Roman" w:eastAsia="仿宋_GB2312" w:cs="Times New Roman"/>
          <w:b/>
          <w:color w:val="000000" w:themeColor="text1"/>
          <w:spacing w:val="0"/>
          <w:sz w:val="32"/>
          <w:szCs w:val="32"/>
          <w14:textFill>
            <w14:solidFill>
              <w14:schemeClr w14:val="tx1"/>
            </w14:solidFill>
          </w14:textFill>
        </w:rPr>
        <w:t>、</w:t>
      </w:r>
      <w:r>
        <w:rPr>
          <w:rFonts w:hint="default" w:ascii="Times New Roman" w:hAnsi="Times New Roman" w:eastAsia="仿宋_GB2312" w:cs="Times New Roman"/>
          <w:b/>
          <w:color w:val="000000" w:themeColor="text1"/>
          <w:spacing w:val="0"/>
          <w:sz w:val="32"/>
          <w:szCs w:val="32"/>
          <w:lang w:eastAsia="zh-CN"/>
          <w14:textFill>
            <w14:solidFill>
              <w14:schemeClr w14:val="tx1"/>
            </w14:solidFill>
          </w14:textFill>
        </w:rPr>
        <w:t>两集群</w:t>
      </w:r>
      <w:r>
        <w:rPr>
          <w:rFonts w:hint="default" w:ascii="Times New Roman" w:hAnsi="Times New Roman" w:eastAsia="仿宋_GB2312" w:cs="Times New Roman"/>
          <w:color w:val="000000" w:themeColor="text1"/>
          <w:spacing w:val="0"/>
          <w:sz w:val="32"/>
          <w:szCs w:val="32"/>
          <w14:textFill>
            <w14:solidFill>
              <w14:schemeClr w14:val="tx1"/>
            </w14:solidFill>
          </w14:textFill>
        </w:rPr>
        <w:t>”的空间布局</w:t>
      </w:r>
      <w:bookmarkEnd w:id="21"/>
      <w:r>
        <w:rPr>
          <w:rFonts w:hint="default" w:ascii="Times New Roman" w:hAnsi="Times New Roman" w:eastAsia="仿宋_GB2312" w:cs="Times New Roman"/>
          <w:color w:val="000000" w:themeColor="text1"/>
          <w:spacing w:val="0"/>
          <w:sz w:val="32"/>
          <w:szCs w:val="32"/>
          <w14:textFill>
            <w14:solidFill>
              <w14:schemeClr w14:val="tx1"/>
            </w14:solidFill>
          </w14:textFill>
        </w:rPr>
        <w:t>。</w:t>
      </w:r>
      <w:r>
        <w:rPr>
          <w:rFonts w:hint="default" w:ascii="Times New Roman" w:hAnsi="Times New Roman" w:eastAsia="仿宋_GB2312" w:cs="Times New Roman"/>
          <w:color w:val="000000" w:themeColor="text1"/>
          <w:spacing w:val="0"/>
          <w:sz w:val="32"/>
          <w:szCs w:val="32"/>
          <w:lang w:eastAsia="zh-CN"/>
          <w14:textFill>
            <w14:solidFill>
              <w14:schemeClr w14:val="tx1"/>
            </w14:solidFill>
          </w14:textFill>
        </w:rPr>
        <w:t>“一区”即：仙桃高新区；“一心”即：仙桃</w:t>
      </w:r>
      <w:r>
        <w:rPr>
          <w:rFonts w:hint="default" w:ascii="Times New Roman" w:hAnsi="Times New Roman" w:eastAsia="仿宋_GB2312" w:cs="Times New Roman"/>
          <w:color w:val="000000" w:themeColor="text1"/>
          <w:spacing w:val="0"/>
          <w:sz w:val="32"/>
          <w:szCs w:val="32"/>
          <w14:textFill>
            <w14:solidFill>
              <w14:schemeClr w14:val="tx1"/>
            </w14:solidFill>
          </w14:textFill>
        </w:rPr>
        <w:t>科技创新服务中</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心（待建）；“一城”</w:t>
      </w:r>
      <w:r>
        <w:rPr>
          <w:rFonts w:hint="default" w:ascii="Times New Roman" w:hAnsi="Times New Roman" w:eastAsia="仿宋_GB2312" w:cs="Times New Roman"/>
          <w:color w:val="000000" w:themeColor="text1"/>
          <w:spacing w:val="0"/>
          <w:sz w:val="32"/>
          <w:szCs w:val="32"/>
          <w:lang w:eastAsia="zh-CN"/>
          <w14:textFill>
            <w14:solidFill>
              <w14:schemeClr w14:val="tx1"/>
            </w14:solidFill>
          </w14:textFill>
        </w:rPr>
        <w:t>即</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：仙桃科教城（重点项目）；“两园”</w:t>
      </w:r>
      <w:r>
        <w:rPr>
          <w:rFonts w:hint="default" w:ascii="Times New Roman" w:hAnsi="Times New Roman" w:eastAsia="仿宋_GB2312" w:cs="Times New Roman"/>
          <w:color w:val="000000" w:themeColor="text1"/>
          <w:spacing w:val="0"/>
          <w:sz w:val="32"/>
          <w:szCs w:val="32"/>
          <w:lang w:eastAsia="zh-CN"/>
          <w14:textFill>
            <w14:solidFill>
              <w14:schemeClr w14:val="tx1"/>
            </w14:solidFill>
          </w14:textFill>
        </w:rPr>
        <w:t>即</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仙桃数字经济产业园和仙桃离岸科创园（待建）；“两组团”即：以共性创新平台为主体的产业技术创新中心组团和以企业为主体的企校联合创新中心组团；“两集群”即：仙桃高新区非织造布创新型产业集群和新能源新材料产业集群。</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3.打造平台、深耕研发。</w:t>
      </w:r>
      <w:r>
        <w:rPr>
          <w:rFonts w:hint="default" w:ascii="Times New Roman" w:hAnsi="Times New Roman" w:eastAsia="仿宋_GB2312" w:cs="Times New Roman"/>
          <w:color w:val="000000" w:themeColor="text1"/>
          <w:spacing w:val="0"/>
          <w:w w:val="100"/>
          <w:kern w:val="2"/>
          <w:sz w:val="32"/>
          <w:szCs w:val="32"/>
          <w:lang w:val="en-US" w:eastAsia="zh-CN" w:bidi="ar-SA"/>
          <w14:textFill>
            <w14:solidFill>
              <w14:schemeClr w14:val="tx1"/>
            </w14:solidFill>
          </w14:textFill>
        </w:rPr>
        <w:t>要</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推进智能高端产品研发，为科学城建设注入智力源泉。</w:t>
      </w:r>
      <w:r>
        <w:rPr>
          <w:rFonts w:hint="default" w:ascii="Times New Roman" w:hAnsi="Times New Roman" w:eastAsia="仿宋_GB2312" w:cs="Times New Roman"/>
          <w:color w:val="000000" w:themeColor="text1"/>
          <w:spacing w:val="0"/>
          <w:w w:val="100"/>
          <w:kern w:val="2"/>
          <w:sz w:val="32"/>
          <w:szCs w:val="32"/>
          <w:lang w:val="en-US" w:eastAsia="zh-CN" w:bidi="ar-SA"/>
          <w14:textFill>
            <w14:solidFill>
              <w14:schemeClr w14:val="tx1"/>
            </w14:solidFill>
          </w14:textFill>
        </w:rPr>
        <w:t>破解“卡脖子”关键核心技术，聚焦</w:t>
      </w:r>
      <w:r>
        <w:rPr>
          <w:rFonts w:hint="default" w:ascii="Times New Roman" w:hAnsi="Times New Roman" w:eastAsia="仿宋_GB2312" w:cs="Times New Roman"/>
          <w:color w:val="000000" w:themeColor="text1"/>
          <w:spacing w:val="0"/>
          <w:w w:val="100"/>
          <w:kern w:val="2"/>
          <w:sz w:val="32"/>
          <w:szCs w:val="32"/>
          <w:lang w:val="zh-CN" w:eastAsia="zh-CN" w:bidi="ar-SA"/>
          <w14:textFill>
            <w14:solidFill>
              <w14:schemeClr w14:val="tx1"/>
            </w14:solidFill>
          </w14:textFill>
        </w:rPr>
        <w:t>非织造布、食品、装备</w:t>
      </w:r>
      <w:r>
        <w:rPr>
          <w:rFonts w:hint="default" w:ascii="Times New Roman" w:hAnsi="Times New Roman" w:eastAsia="仿宋_GB2312" w:cs="Times New Roman"/>
          <w:color w:val="000000" w:themeColor="text1"/>
          <w:spacing w:val="0"/>
          <w:w w:val="100"/>
          <w:kern w:val="2"/>
          <w:sz w:val="32"/>
          <w:szCs w:val="32"/>
          <w:lang w:val="en-US" w:eastAsia="zh-CN" w:bidi="ar-SA"/>
          <w14:textFill>
            <w14:solidFill>
              <w14:schemeClr w14:val="tx1"/>
            </w14:solidFill>
          </w14:textFill>
        </w:rPr>
        <w:t>智能制造、电子信息、新能源新材料、生物医药、纺织服装</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等重点领域，力争在关键共性技术方面实现突破，促进技术转化应用与产业化的对接融通。支持湖北省非织造布技术创新中心联合武汉纺织大学等高校，集聚科研力量和创新资源，争创国家级技术创新中心。以全康为依托，与上海理工大学等开展深度合作，积极打造面向应用市场的人工智能产业基地和研发中心；以容百学院、京科控股有限公司为依托，打造锂电池正极材料研发中心和国家级电池研究认证和检验检测中心；以国华能源、深圳国氢为依托，与清华大学等合作，打造仙桃零碳产业技术创新中心。同时，通过专项形式，提供科学城土地、配套资金，吸引一批国内外知名大学、科研院所、龙头企业自带科技大项目落户科学城，汇聚创新资源。</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lang w:eastAsia="zh-CN"/>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4.做强产业、龙头引领。</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以增强创新溢出效应为目标，大力发展重点产业，增强仙桃科学城的发展动能和后劲。以新鑫、万里等为龙头，引导</w:t>
      </w:r>
      <w:r>
        <w:rPr>
          <w:rFonts w:hint="default" w:ascii="Times New Roman" w:hAnsi="Times New Roman" w:eastAsia="仿宋_GB2312" w:cs="Times New Roman"/>
          <w:color w:val="000000" w:themeColor="text1"/>
          <w:spacing w:val="0"/>
          <w:sz w:val="32"/>
          <w:szCs w:val="32"/>
          <w:lang w:val="en-US" w:eastAsia="zh-CN"/>
          <w14:textFill>
            <w14:solidFill>
              <w14:schemeClr w14:val="tx1"/>
            </w14:solidFill>
          </w14:textFill>
        </w:rPr>
        <w:t>非织造布产业</w:t>
      </w:r>
      <w:r>
        <w:rPr>
          <w:rFonts w:hint="default" w:ascii="Times New Roman" w:hAnsi="Times New Roman" w:eastAsia="仿宋_GB2312" w:cs="Times New Roman"/>
          <w:color w:val="000000" w:themeColor="text1"/>
          <w:spacing w:val="0"/>
          <w:sz w:val="32"/>
          <w:szCs w:val="32"/>
          <w:lang w:eastAsia="zh-CN"/>
          <w14:textFill>
            <w14:solidFill>
              <w14:schemeClr w14:val="tx1"/>
            </w14:solidFill>
          </w14:textFill>
        </w:rPr>
        <w:t>从口罩、防护服加工向医用无菌、净化制品加工转变，由低端日用品向军工、医疗、汽车、航空和土木工程领域转型</w:t>
      </w:r>
      <w:r>
        <w:rPr>
          <w:rFonts w:hint="default" w:ascii="Times New Roman" w:hAnsi="Times New Roman" w:eastAsia="仿宋_GB2312" w:cs="Times New Roman"/>
          <w:color w:val="000000" w:themeColor="text1"/>
          <w:spacing w:val="0"/>
          <w:sz w:val="32"/>
          <w:szCs w:val="32"/>
          <w:lang w:val="en-US" w:eastAsia="zh-CN"/>
          <w14:textFill>
            <w14:solidFill>
              <w14:schemeClr w14:val="tx1"/>
            </w14:solidFill>
          </w14:textFill>
        </w:rPr>
        <w:t>延伸；</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以全康、进成为龙头，延伸培育小米生态链中智能家电、滑板车、空气清新系统等高端产业链条；以容百集团锂电池正极材料产业基地为核心，集聚上下游企业打造成全球有影响力的高镍锂电池正极材料基地；以国华能源、深圳国氢为代表，打造氢能和新能源装备产业集群</w:t>
      </w:r>
      <w:r>
        <w:rPr>
          <w:rFonts w:hint="default" w:ascii="Times New Roman" w:hAnsi="Times New Roman" w:eastAsia="仿宋_GB2312" w:cs="Times New Roman"/>
          <w:color w:val="000000" w:themeColor="text1"/>
          <w:spacing w:val="0"/>
          <w:sz w:val="32"/>
          <w:szCs w:val="32"/>
          <w:lang w:val="en-US" w:eastAsia="zh-CN"/>
          <w14:textFill>
            <w14:solidFill>
              <w14:schemeClr w14:val="tx1"/>
            </w14:solidFill>
          </w14:textFill>
        </w:rPr>
        <w:t>；以</w:t>
      </w:r>
      <w:r>
        <w:rPr>
          <w:rFonts w:hint="default" w:ascii="Times New Roman" w:hAnsi="Times New Roman" w:eastAsia="仿宋_GB2312" w:cs="Times New Roman"/>
          <w:color w:val="000000" w:themeColor="text1"/>
          <w:spacing w:val="0"/>
          <w:sz w:val="32"/>
          <w:szCs w:val="32"/>
          <w:lang w:eastAsia="zh-CN"/>
          <w14:textFill>
            <w14:solidFill>
              <w14:schemeClr w14:val="tx1"/>
            </w14:solidFill>
          </w14:textFill>
        </w:rPr>
        <w:t>台湾健鼎、康舒为龙头，与湖北“光芯屏端网”产业工程对接，做大配套产业，打造华中地区具有影响力的电子电路产业集群。</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5.政策引导、人才优先。</w:t>
      </w:r>
      <w:r>
        <w:rPr>
          <w:rFonts w:hint="default" w:ascii="Times New Roman" w:hAnsi="Times New Roman" w:eastAsia="仿宋_GB2312" w:cs="Times New Roman"/>
          <w:color w:val="000000" w:themeColor="text1"/>
          <w:spacing w:val="0"/>
          <w:w w:val="100"/>
          <w:kern w:val="2"/>
          <w:sz w:val="32"/>
          <w:szCs w:val="32"/>
          <w:lang w:val="en-US" w:eastAsia="zh-CN" w:bidi="ar-SA"/>
          <w14:textFill>
            <w14:solidFill>
              <w14:schemeClr w14:val="tx1"/>
            </w14:solidFill>
          </w14:textFill>
        </w:rPr>
        <w:t>制定包括生产要素、人才引育、财税金融、医疗社保等一揽子政策措施。科学城建设，首先</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让全省全国最优秀的</w:t>
      </w:r>
      <w:r>
        <w:rPr>
          <w:rFonts w:hint="default" w:ascii="Times New Roman" w:hAnsi="Times New Roman" w:eastAsia="仿宋_GB2312" w:cs="Times New Roman"/>
          <w:color w:val="000000" w:themeColor="text1"/>
          <w:spacing w:val="0"/>
          <w:w w:val="100"/>
          <w:kern w:val="2"/>
          <w:sz w:val="32"/>
          <w:szCs w:val="32"/>
          <w:lang w:val="zh-CN" w:eastAsia="zh-CN" w:bidi="ar-SA"/>
          <w14:textFill>
            <w14:solidFill>
              <w14:schemeClr w14:val="tx1"/>
            </w14:solidFill>
          </w14:textFill>
        </w:rPr>
        <w:t>科技人才、工程技术人才及重点产业人才</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汇聚到仙桃，让他们有“家”的感觉。武汉东湖科学城正因为有良好的人才政策，才成为</w:t>
      </w:r>
      <w:r>
        <w:rPr>
          <w:rFonts w:hint="default" w:ascii="Times New Roman" w:hAnsi="Times New Roman" w:eastAsia="仿宋_GB2312" w:cs="Times New Roman"/>
          <w:color w:val="000000" w:themeColor="text1"/>
          <w:spacing w:val="0"/>
          <w:kern w:val="2"/>
          <w:sz w:val="32"/>
          <w:szCs w:val="32"/>
          <w:lang w:val="en-US" w:eastAsia="zh-CN" w:bidi="ar-SA"/>
          <w14:textFill>
            <w14:solidFill>
              <w14:schemeClr w14:val="tx1"/>
            </w14:solidFill>
          </w14:textFill>
        </w:rPr>
        <w:t>武汉建设全国有影响力的科技创新中心</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的主战场，被称为“科学家的家，创业者的城”。但总体看，我市聚集的人才数量和层次，与先进发达地方相比还有差距，需进一步提升仙桃知名度和影响力。要采取内培外引相结合方式，给高端人才优先提供所需的场地、实验设备、科研经费、安家费、生活补贴等，消除他们的后顾之忧。引进一批创新创业高端人才，汇聚一批科研工作者和企业家，产出一批前瞻性、颠覆性技术成果和产业成果，使科学城成为引领仙桃经济社会高质量发展的创新源头。</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楷体_GB2312" w:cs="Times New Roman"/>
          <w:b/>
          <w:bCs/>
          <w:color w:val="000000" w:themeColor="text1"/>
          <w:spacing w:val="0"/>
          <w:kern w:val="2"/>
          <w:sz w:val="32"/>
          <w:szCs w:val="32"/>
          <w:lang w:val="en-US" w:eastAsia="zh-CN" w:bidi="ar-SA"/>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6.强化示范、数字赋能。</w:t>
      </w:r>
      <w:r>
        <w:rPr>
          <w:rFonts w:hint="default" w:ascii="Times New Roman" w:hAnsi="Times New Roman" w:eastAsia="仿宋_GB2312" w:cs="Times New Roman"/>
          <w:b/>
          <w:bCs w:val="0"/>
          <w:color w:val="000000" w:themeColor="text1"/>
          <w:spacing w:val="0"/>
          <w:kern w:val="2"/>
          <w:sz w:val="32"/>
          <w:szCs w:val="32"/>
          <w:lang w:val="en-US" w:eastAsia="zh-CN" w:bidi="ar-SA"/>
          <w14:textFill>
            <w14:solidFill>
              <w14:schemeClr w14:val="tx1"/>
            </w14:solidFill>
          </w14:textFill>
        </w:rPr>
        <w:t>一是推动数字园区建设。</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通过加快云计算、大数据等技术，推进仙桃数字经济产业园建设，形成内外联通、安全高效的物流网络，打牢科学城“两园”建设的坚实基础。二</w:t>
      </w:r>
      <w:r>
        <w:rPr>
          <w:rFonts w:hint="default" w:ascii="Times New Roman" w:hAnsi="Times New Roman" w:eastAsia="仿宋_GB2312" w:cs="Times New Roman"/>
          <w:b/>
          <w:bCs w:val="0"/>
          <w:color w:val="000000" w:themeColor="text1"/>
          <w:spacing w:val="0"/>
          <w:kern w:val="2"/>
          <w:sz w:val="32"/>
          <w:szCs w:val="32"/>
          <w:lang w:val="en-US" w:eastAsia="zh-CN" w:bidi="ar-SA"/>
          <w14:textFill>
            <w14:solidFill>
              <w14:schemeClr w14:val="tx1"/>
            </w14:solidFill>
          </w14:textFill>
        </w:rPr>
        <w:t>是搭建前沿技术场景。</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加强智能化场景打造，搭建科学城智慧岛成果展示区和体验空间。布局科技公园、创新馆等公共服务设施，强化硬科技、前沿科技的集中展示，营造尊重科学、崇尚创新的文化氛围。</w:t>
      </w:r>
      <w:r>
        <w:rPr>
          <w:rFonts w:hint="default" w:ascii="Times New Roman" w:hAnsi="Times New Roman" w:eastAsia="仿宋_GB2312" w:cs="Times New Roman"/>
          <w:b/>
          <w:bCs w:val="0"/>
          <w:color w:val="000000" w:themeColor="text1"/>
          <w:spacing w:val="0"/>
          <w:kern w:val="2"/>
          <w:sz w:val="32"/>
          <w:szCs w:val="32"/>
          <w:lang w:val="en-US" w:eastAsia="zh-CN" w:bidi="ar-SA"/>
          <w14:textFill>
            <w14:solidFill>
              <w14:schemeClr w14:val="tx1"/>
            </w14:solidFill>
          </w14:textFill>
        </w:rPr>
        <w:t>三是引领绿色低碳发展。</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全方位推进能源体系和产业发展绿色低碳转型，打造人与自然和谐共生的生态环境，将科学城建设成为蓝绿交织的生态之城。</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7.金融创新、服务提质。</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推动金融发展与科技创新深度融合，着力吸引国内外各类创业投资基金和金融科技子公司等，引导有洞见力的风险资本，为前沿科技创新提供持续的资金支持。以仙桃高新投为依托，发挥好仙桃产业发展投资基金、湖北长江（仙桃）产业投资基金等作用，精准科技创新，打造科技金融产业的融合平台，提升市场主体活力和发展潜力。引进保险、基金、评估等各类服务机构，铸就“吸金强磁场”，打造区域性金融服务圈。依托</w:t>
      </w:r>
      <w:r>
        <w:rPr>
          <w:rFonts w:hint="default" w:ascii="Times New Roman" w:hAnsi="Times New Roman" w:eastAsia="仿宋_GB2312" w:cs="Times New Roman"/>
          <w:b w:val="0"/>
          <w:bCs w:val="0"/>
          <w:color w:val="000000" w:themeColor="text1"/>
          <w:spacing w:val="0"/>
          <w:kern w:val="2"/>
          <w:sz w:val="32"/>
          <w:szCs w:val="32"/>
          <w:lang w:val="en-US" w:eastAsia="zh-CN" w:bidi="ar-SA"/>
          <w14:textFill>
            <w14:solidFill>
              <w14:schemeClr w14:val="tx1"/>
            </w14:solidFill>
          </w14:textFill>
        </w:rPr>
        <w:t>湖北技术交易所、</w:t>
      </w:r>
      <w:r>
        <w:rPr>
          <w:rFonts w:hint="default" w:ascii="Times New Roman" w:hAnsi="Times New Roman" w:eastAsia="仿宋_GB2312" w:cs="Times New Roman"/>
          <w:bCs/>
          <w:color w:val="000000" w:themeColor="text1"/>
          <w:spacing w:val="0"/>
          <w:kern w:val="2"/>
          <w:sz w:val="32"/>
          <w:szCs w:val="32"/>
          <w:lang w:val="en-US" w:eastAsia="zh-CN" w:bidi="ar-SA"/>
          <w14:textFill>
            <w14:solidFill>
              <w14:schemeClr w14:val="tx1"/>
            </w14:solidFill>
          </w14:textFill>
        </w:rPr>
        <w:t>中部知光、谷仓学院等，引进第三方科创服务机构，围绕知识产权、成果转化、产学研合作等，打造科技创新资源集聚新高地。</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大标宋简体" w:cs="Times New Roman"/>
          <w:color w:val="000000" w:themeColor="text1"/>
          <w:spacing w:val="0"/>
          <w:sz w:val="32"/>
          <w:szCs w:val="32"/>
          <w14:textFill>
            <w14:solidFill>
              <w14:schemeClr w14:val="tx1"/>
            </w14:solidFill>
          </w14:textFill>
        </w:rPr>
      </w:pPr>
      <w:r>
        <w:rPr>
          <w:rFonts w:hint="default" w:ascii="Times New Roman" w:hAnsi="Times New Roman" w:eastAsia="方正大标宋简体"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大标宋简体"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 xml:space="preserve">整治“五小车辆” </w:t>
      </w:r>
      <w:r>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 xml:space="preserve"> </w:t>
      </w: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缓解路堵心塞</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w:t>
      </w: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关于深化“五小车辆”整治，规范道路交通秩序的建议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color w:val="000000" w:themeColor="text1"/>
          <w:lang w:val="en-US" w:eastAsia="zh-CN"/>
          <w14:textFill>
            <w14:solidFill>
              <w14:schemeClr w14:val="tx1"/>
            </w14:solidFill>
          </w14:textFill>
        </w:rPr>
      </w:pPr>
      <w:r>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政法委员组  曾菊红</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color w:val="000000" w:themeColor="text1"/>
          <w:sz w:val="32"/>
          <w:szCs w:val="32"/>
          <w:lang w:val="en-US" w:eastAsia="zh-CN"/>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Times New Roman"/>
          <w:b w:val="0"/>
          <w:bCs w:val="0"/>
          <w:color w:val="000000" w:themeColor="text1"/>
          <w:kern w:val="2"/>
          <w:sz w:val="32"/>
          <w:szCs w:val="32"/>
          <w:lang w:val="en-US" w:eastAsia="zh-CN"/>
          <w14:textFill>
            <w14:solidFill>
              <w14:schemeClr w14:val="tx1"/>
            </w14:solidFill>
          </w14:textFill>
        </w:rPr>
        <w:t>近年来，我市涉及“五小车辆”交通事故占全市交通事故总量70％以上，是创建文明城市最大的短板，是城市管理中不容忽视的顽瘴痼疾，广大市民群众深受其害、深恶痛绝。整治违规“五小车辆”、规范交通秩序是时代之问、治理之考、人民之盼，事关我市“挺进五十强、创成文明城、建设示范区”，也关乎每位市民的切身安全。为此，市委市政府采取了一系列强有力措施，靶向发力、精准施策，通过开展近一年的违规“五小车辆”综合整治，全市道路通行状况明显改善，</w:t>
      </w:r>
      <w:r>
        <w:rPr>
          <w:rFonts w:hint="eastAsia" w:ascii="仿宋_GB2312" w:hAnsi="仿宋_GB2312" w:eastAsia="仿宋_GB2312"/>
          <w:b w:val="0"/>
          <w:bCs w:val="0"/>
          <w:color w:val="000000" w:themeColor="text1"/>
          <w:sz w:val="32"/>
          <w14:textFill>
            <w14:solidFill>
              <w14:schemeClr w14:val="tx1"/>
            </w14:solidFill>
          </w14:textFill>
        </w:rPr>
        <w:t>城区交通</w:t>
      </w:r>
      <w:r>
        <w:rPr>
          <w:rFonts w:hint="eastAsia" w:ascii="仿宋_GB2312" w:hAnsi="仿宋_GB2312" w:eastAsia="仿宋_GB2312"/>
          <w:b w:val="0"/>
          <w:bCs w:val="0"/>
          <w:color w:val="000000" w:themeColor="text1"/>
          <w:sz w:val="32"/>
          <w:lang w:eastAsia="zh-CN"/>
          <w14:textFill>
            <w14:solidFill>
              <w14:schemeClr w14:val="tx1"/>
            </w14:solidFill>
          </w14:textFill>
        </w:rPr>
        <w:t>越来越畅，</w:t>
      </w:r>
      <w:r>
        <w:rPr>
          <w:rFonts w:hint="eastAsia" w:ascii="仿宋_GB2312" w:hAnsi="仿宋_GB2312" w:eastAsia="仿宋_GB2312" w:cs="Times New Roman"/>
          <w:b w:val="0"/>
          <w:bCs w:val="0"/>
          <w:color w:val="000000" w:themeColor="text1"/>
          <w:kern w:val="2"/>
          <w:sz w:val="32"/>
          <w:szCs w:val="32"/>
          <w:lang w:val="en-US" w:eastAsia="zh-CN"/>
          <w14:textFill>
            <w14:solidFill>
              <w14:schemeClr w14:val="tx1"/>
            </w14:solidFill>
          </w14:textFill>
        </w:rPr>
        <w:t>通行安全更有保障，逐步形成不违规售卖、不违规购买、不违规驾驶、不违规乘坐、不违规停放“五小车辆”的社会共识。</w:t>
      </w:r>
      <w:r>
        <w:rPr>
          <w:rFonts w:hint="eastAsia" w:ascii="仿宋_GB2312" w:hAnsi="仿宋_GB2312" w:eastAsia="仿宋_GB2312"/>
          <w:b w:val="0"/>
          <w:bCs w:val="0"/>
          <w:color w:val="000000" w:themeColor="text1"/>
          <w:sz w:val="32"/>
          <w:lang w:eastAsia="zh-CN"/>
          <w14:textFill>
            <w14:solidFill>
              <w14:schemeClr w14:val="tx1"/>
            </w14:solidFill>
          </w14:textFill>
        </w:rPr>
        <w:t>据不完全统计，</w:t>
      </w:r>
      <w:r>
        <w:rPr>
          <w:rFonts w:hint="eastAsia" w:ascii="仿宋_GB2312" w:hAnsi="仿宋_GB2312" w:eastAsia="仿宋_GB2312" w:cs="Times New Roman"/>
          <w:b w:val="0"/>
          <w:bCs w:val="0"/>
          <w:color w:val="000000" w:themeColor="text1"/>
          <w:kern w:val="2"/>
          <w:sz w:val="32"/>
          <w:szCs w:val="32"/>
          <w:lang w:val="en-US" w:eastAsia="zh-CN"/>
          <w14:textFill>
            <w14:solidFill>
              <w14:schemeClr w14:val="tx1"/>
            </w14:solidFill>
          </w14:textFill>
        </w:rPr>
        <w:t>全市</w:t>
      </w:r>
      <w:r>
        <w:rPr>
          <w:rFonts w:hint="eastAsia" w:ascii="仿宋_GB2312" w:hAnsi="仿宋_GB2312" w:eastAsia="仿宋_GB2312"/>
          <w:b w:val="0"/>
          <w:bCs w:val="0"/>
          <w:color w:val="000000" w:themeColor="text1"/>
          <w:sz w:val="32"/>
          <w14:textFill>
            <w14:solidFill>
              <w14:schemeClr w14:val="tx1"/>
            </w14:solidFill>
          </w14:textFill>
        </w:rPr>
        <w:t>道路通行率同比</w:t>
      </w:r>
      <w:r>
        <w:rPr>
          <w:rFonts w:hint="eastAsia" w:ascii="仿宋_GB2312" w:hAnsi="仿宋_GB2312" w:eastAsia="仿宋_GB2312"/>
          <w:b w:val="0"/>
          <w:bCs w:val="0"/>
          <w:color w:val="000000" w:themeColor="text1"/>
          <w:sz w:val="32"/>
          <w:lang w:eastAsia="zh-CN"/>
          <w14:textFill>
            <w14:solidFill>
              <w14:schemeClr w14:val="tx1"/>
            </w14:solidFill>
          </w14:textFill>
        </w:rPr>
        <w:t>提</w:t>
      </w:r>
      <w:r>
        <w:rPr>
          <w:rFonts w:hint="eastAsia" w:ascii="仿宋_GB2312" w:hAnsi="仿宋_GB2312" w:eastAsia="仿宋_GB2312"/>
          <w:b w:val="0"/>
          <w:bCs w:val="0"/>
          <w:color w:val="000000" w:themeColor="text1"/>
          <w:sz w:val="32"/>
          <w14:textFill>
            <w14:solidFill>
              <w14:schemeClr w14:val="tx1"/>
            </w14:solidFill>
          </w14:textFill>
        </w:rPr>
        <w:t>升1</w:t>
      </w:r>
      <w:r>
        <w:rPr>
          <w:rFonts w:hint="eastAsia" w:ascii="仿宋_GB2312" w:hAnsi="仿宋_GB2312" w:eastAsia="仿宋_GB2312"/>
          <w:b w:val="0"/>
          <w:bCs w:val="0"/>
          <w:color w:val="000000" w:themeColor="text1"/>
          <w:sz w:val="32"/>
          <w:lang w:val="en-US" w:eastAsia="zh-CN"/>
          <w14:textFill>
            <w14:solidFill>
              <w14:schemeClr w14:val="tx1"/>
            </w14:solidFill>
          </w14:textFill>
        </w:rPr>
        <w:t>5</w:t>
      </w:r>
      <w:r>
        <w:rPr>
          <w:rFonts w:hint="eastAsia" w:ascii="仿宋_GB2312" w:hAnsi="仿宋_GB2312" w:eastAsia="仿宋_GB2312"/>
          <w:b w:val="0"/>
          <w:bCs w:val="0"/>
          <w:color w:val="000000" w:themeColor="text1"/>
          <w:sz w:val="32"/>
          <w14:textFill>
            <w14:solidFill>
              <w14:schemeClr w14:val="tx1"/>
            </w14:solidFill>
          </w14:textFill>
        </w:rPr>
        <w:t>.5%，涉“五小车辆”一般交通事故同比下降1</w:t>
      </w:r>
      <w:r>
        <w:rPr>
          <w:rFonts w:hint="eastAsia" w:ascii="仿宋_GB2312" w:hAnsi="仿宋_GB2312" w:eastAsia="仿宋_GB2312"/>
          <w:b w:val="0"/>
          <w:bCs w:val="0"/>
          <w:color w:val="000000" w:themeColor="text1"/>
          <w:sz w:val="32"/>
          <w:lang w:val="en-US" w:eastAsia="zh-CN"/>
          <w14:textFill>
            <w14:solidFill>
              <w14:schemeClr w14:val="tx1"/>
            </w14:solidFill>
          </w14:textFill>
        </w:rPr>
        <w:t>8</w:t>
      </w:r>
      <w:r>
        <w:rPr>
          <w:rFonts w:hint="eastAsia" w:ascii="仿宋_GB2312" w:hAnsi="仿宋_GB2312" w:eastAsia="仿宋_GB2312"/>
          <w:b w:val="0"/>
          <w:bCs w:val="0"/>
          <w:color w:val="000000" w:themeColor="text1"/>
          <w:sz w:val="32"/>
          <w14:textFill>
            <w14:solidFill>
              <w14:schemeClr w14:val="tx1"/>
            </w14:solidFill>
          </w14:textFill>
        </w:rPr>
        <w:t>.</w:t>
      </w:r>
      <w:r>
        <w:rPr>
          <w:rFonts w:hint="eastAsia" w:ascii="仿宋_GB2312" w:hAnsi="仿宋_GB2312" w:eastAsia="仿宋_GB2312"/>
          <w:b w:val="0"/>
          <w:bCs w:val="0"/>
          <w:color w:val="000000" w:themeColor="text1"/>
          <w:sz w:val="32"/>
          <w:lang w:val="en-US" w:eastAsia="zh-CN"/>
          <w14:textFill>
            <w14:solidFill>
              <w14:schemeClr w14:val="tx1"/>
            </w14:solidFill>
          </w14:textFill>
        </w:rPr>
        <w:t>3</w:t>
      </w:r>
      <w:r>
        <w:rPr>
          <w:rFonts w:hint="eastAsia" w:ascii="仿宋_GB2312" w:hAnsi="仿宋_GB2312" w:eastAsia="仿宋_GB2312"/>
          <w:b w:val="0"/>
          <w:bCs w:val="0"/>
          <w:color w:val="000000" w:themeColor="text1"/>
          <w:sz w:val="32"/>
          <w14:textFill>
            <w14:solidFill>
              <w14:schemeClr w14:val="tx1"/>
            </w14:solidFill>
          </w14:textFill>
        </w:rPr>
        <w:t>%。</w:t>
      </w:r>
      <w:r>
        <w:rPr>
          <w:rFonts w:hint="eastAsia" w:ascii="仿宋_GB2312" w:hAnsi="仿宋_GB2312" w:eastAsia="仿宋_GB2312" w:cs="Times New Roman"/>
          <w:b w:val="0"/>
          <w:bCs w:val="0"/>
          <w:color w:val="000000" w:themeColor="text1"/>
          <w:kern w:val="2"/>
          <w:sz w:val="32"/>
          <w:szCs w:val="32"/>
          <w:lang w:val="en-US" w:eastAsia="zh-CN"/>
          <w14:textFill>
            <w14:solidFill>
              <w14:schemeClr w14:val="tx1"/>
            </w14:solidFill>
          </w14:textFill>
        </w:rPr>
        <w:t>但在肯定成效的同时，我们也看到，和先进地区、创建文明城市要求和人民群众期盼相比，我市违规“五小车辆”整治工作仍然存在一些问题和薄弱环节。</w:t>
      </w:r>
      <w:r>
        <w:rPr>
          <w:rFonts w:hint="eastAsia" w:ascii="仿宋_GB2312" w:hAnsi="仿宋_GB2312" w:eastAsia="仿宋_GB2312" w:cs="Times New Roman"/>
          <w:b/>
          <w:bCs/>
          <w:color w:val="000000" w:themeColor="text1"/>
          <w:kern w:val="2"/>
          <w:sz w:val="32"/>
          <w:szCs w:val="32"/>
          <w:lang w:val="en-US" w:eastAsia="zh-CN"/>
          <w14:textFill>
            <w14:solidFill>
              <w14:schemeClr w14:val="tx1"/>
            </w14:solidFill>
          </w14:textFill>
        </w:rPr>
        <w:t>一是市民安全意识淡薄。</w:t>
      </w:r>
      <w:r>
        <w:rPr>
          <w:rFonts w:hint="eastAsia" w:ascii="仿宋_GB2312" w:hAnsi="仿宋_GB2312" w:eastAsia="仿宋_GB2312" w:cs="Times New Roman"/>
          <w:b w:val="0"/>
          <w:bCs w:val="0"/>
          <w:color w:val="000000" w:themeColor="text1"/>
          <w:kern w:val="2"/>
          <w:sz w:val="32"/>
          <w:szCs w:val="32"/>
          <w:lang w:val="en-US" w:eastAsia="zh-CN"/>
          <w14:textFill>
            <w14:solidFill>
              <w14:schemeClr w14:val="tx1"/>
            </w14:solidFill>
          </w14:textFill>
        </w:rPr>
        <w:t>部分“五小车辆”车主交通安全意识淡薄，对“五小车辆”违法行为危害程度认识不到位，加之没有接受系统的交通安全教育，出行只顾个人方便，导致电动车占道、逆行、随意转弯调头、不按交通信号灯行驶、抢灯行驶等违法行为屡禁不绝。</w:t>
      </w:r>
      <w:r>
        <w:rPr>
          <w:rFonts w:hint="eastAsia" w:ascii="仿宋_GB2312" w:hAnsi="仿宋_GB2312" w:eastAsia="仿宋_GB2312" w:cs="Times New Roman"/>
          <w:b/>
          <w:bCs/>
          <w:color w:val="000000" w:themeColor="text1"/>
          <w:kern w:val="2"/>
          <w:sz w:val="32"/>
          <w:szCs w:val="32"/>
          <w:lang w:val="en-US" w:eastAsia="zh-CN"/>
          <w14:textFill>
            <w14:solidFill>
              <w14:schemeClr w14:val="tx1"/>
            </w14:solidFill>
          </w14:textFill>
        </w:rPr>
        <w:t>二是整治力度有待加大。</w:t>
      </w:r>
      <w:r>
        <w:rPr>
          <w:rFonts w:hint="eastAsia" w:ascii="仿宋_GB2312" w:hAnsi="仿宋_GB2312" w:eastAsia="仿宋_GB2312" w:cs="Times New Roman"/>
          <w:b w:val="0"/>
          <w:bCs w:val="0"/>
          <w:color w:val="000000" w:themeColor="text1"/>
          <w:kern w:val="2"/>
          <w:sz w:val="32"/>
          <w:szCs w:val="32"/>
          <w:lang w:val="en-US" w:eastAsia="zh-CN"/>
          <w14:textFill>
            <w14:solidFill>
              <w14:schemeClr w14:val="tx1"/>
            </w14:solidFill>
          </w14:textFill>
        </w:rPr>
        <w:t>城区仍然存在四轮电瓶车非法上路行驶、载客，三轮车占道经营等现象，尤以夜间为甚。对违规“五小车辆”处罚力度过轻，违法“成本”较低，没有形成真正震慑。部分单位对“五小车辆”管理职责还不明晰，工作中存在推诿扯皮现象，没有形成有效合力。</w:t>
      </w:r>
      <w:r>
        <w:rPr>
          <w:rFonts w:hint="eastAsia" w:ascii="仿宋_GB2312" w:hAnsi="仿宋_GB2312" w:eastAsia="仿宋_GB2312"/>
          <w:b/>
          <w:bCs/>
          <w:color w:val="000000" w:themeColor="text1"/>
          <w:sz w:val="32"/>
          <w:szCs w:val="32"/>
          <w:lang w:val="en-US" w:eastAsia="zh-CN"/>
          <w14:textFill>
            <w14:solidFill>
              <w14:schemeClr w14:val="tx1"/>
            </w14:solidFill>
          </w14:textFill>
        </w:rPr>
        <w:t>三是源头治理还需加强。</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据调查，</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四轮电瓶车在我市销售渠道</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仍未切断，</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非标电动车</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还在</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继续销售</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。有些路段</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机非</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未</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分离</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，导致</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电动车</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乱穿乱行。同时，对行驶速度、功率、载重都达到机动车标准的电动车管理不严，没有落实检测措施，导致形成监管盲区和“灰色”地带。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Times New Roman"/>
          <w:b w:val="0"/>
          <w:bCs w:val="0"/>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Times New Roman"/>
          <w:b w:val="0"/>
          <w:bCs w:val="0"/>
          <w:color w:val="000000" w:themeColor="text1"/>
          <w:kern w:val="2"/>
          <w:sz w:val="32"/>
          <w:szCs w:val="32"/>
          <w:lang w:val="en-US" w:eastAsia="zh-CN"/>
          <w14:textFill>
            <w14:solidFill>
              <w14:schemeClr w14:val="tx1"/>
            </w14:solidFill>
          </w14:textFill>
        </w:rPr>
        <w:t>针对上述问题，结合我市实际，我们建议：</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b w:val="0"/>
          <w:bCs/>
          <w:color w:val="000000" w:themeColor="text1"/>
          <w:kern w:val="0"/>
          <w:sz w:val="32"/>
          <w:szCs w:val="32"/>
          <w:lang w:val="en-US" w:eastAsia="zh-CN" w:bidi="ar"/>
          <w14:textFill>
            <w14:solidFill>
              <w14:schemeClr w14:val="tx1"/>
            </w14:solidFill>
          </w14:textFill>
        </w:rPr>
        <w:t>1.突出</w:t>
      </w:r>
      <w:r>
        <w:rPr>
          <w:rFonts w:hint="default" w:ascii="楷体_GB2312" w:hAnsi="楷体_GB2312" w:eastAsia="楷体_GB2312" w:cs="楷体_GB2312"/>
          <w:b w:val="0"/>
          <w:bCs/>
          <w:color w:val="000000" w:themeColor="text1"/>
          <w:kern w:val="0"/>
          <w:sz w:val="32"/>
          <w:szCs w:val="32"/>
          <w:lang w:val="en-US" w:eastAsia="zh-CN" w:bidi="ar"/>
          <w14:textFill>
            <w14:solidFill>
              <w14:schemeClr w14:val="tx1"/>
            </w14:solidFill>
          </w14:textFill>
        </w:rPr>
        <w:t>“四个</w:t>
      </w:r>
      <w:r>
        <w:rPr>
          <w:rFonts w:hint="eastAsia" w:ascii="楷体_GB2312" w:hAnsi="楷体_GB2312" w:eastAsia="楷体_GB2312" w:cs="楷体_GB2312"/>
          <w:b w:val="0"/>
          <w:bCs/>
          <w:color w:val="000000" w:themeColor="text1"/>
          <w:kern w:val="0"/>
          <w:sz w:val="32"/>
          <w:szCs w:val="32"/>
          <w:lang w:val="en-US" w:eastAsia="zh-CN" w:bidi="ar"/>
          <w14:textFill>
            <w14:solidFill>
              <w14:schemeClr w14:val="tx1"/>
            </w14:solidFill>
          </w14:textFill>
        </w:rPr>
        <w:t>抓手</w:t>
      </w:r>
      <w:r>
        <w:rPr>
          <w:rFonts w:hint="default" w:ascii="楷体_GB2312" w:hAnsi="楷体_GB2312" w:eastAsia="楷体_GB2312" w:cs="楷体_GB2312"/>
          <w:b w:val="0"/>
          <w:bCs/>
          <w:color w:val="000000" w:themeColor="text1"/>
          <w:kern w:val="0"/>
          <w:sz w:val="32"/>
          <w:szCs w:val="32"/>
          <w:lang w:val="en-US" w:eastAsia="zh-CN" w:bidi="ar"/>
          <w14:textFill>
            <w14:solidFill>
              <w14:schemeClr w14:val="tx1"/>
            </w14:solidFill>
          </w14:textFill>
        </w:rPr>
        <w:t>”，</w:t>
      </w:r>
      <w:r>
        <w:rPr>
          <w:rFonts w:hint="eastAsia" w:ascii="楷体_GB2312" w:hAnsi="楷体_GB2312" w:eastAsia="楷体_GB2312" w:cs="楷体_GB2312"/>
          <w:b w:val="0"/>
          <w:bCs/>
          <w:color w:val="000000" w:themeColor="text1"/>
          <w:kern w:val="0"/>
          <w:sz w:val="32"/>
          <w:szCs w:val="32"/>
          <w:lang w:val="en-US" w:eastAsia="zh-CN" w:bidi="ar"/>
          <w14:textFill>
            <w14:solidFill>
              <w14:schemeClr w14:val="tx1"/>
            </w14:solidFill>
          </w14:textFill>
        </w:rPr>
        <w:t>形成治理合力</w:t>
      </w:r>
      <w:r>
        <w:rPr>
          <w:rFonts w:hint="default" w:ascii="楷体_GB2312" w:hAnsi="楷体_GB2312" w:eastAsia="楷体_GB2312" w:cs="楷体_GB2312"/>
          <w:b w:val="0"/>
          <w:bCs/>
          <w:color w:val="000000" w:themeColor="text1"/>
          <w:kern w:val="0"/>
          <w:sz w:val="32"/>
          <w:szCs w:val="32"/>
          <w:lang w:val="en-US" w:eastAsia="zh-CN" w:bidi="ar"/>
          <w14:textFill>
            <w14:solidFill>
              <w14:schemeClr w14:val="tx1"/>
            </w14:solidFill>
          </w14:textFill>
        </w:rPr>
        <w:t>。</w:t>
      </w:r>
      <w:r>
        <w:rPr>
          <w:rFonts w:hint="default" w:ascii="Times New Roman" w:hAnsi="Times New Roman" w:eastAsia="仿宋_GB2312" w:cs="Times New Roman"/>
          <w:b/>
          <w:bCs/>
          <w:color w:val="000000" w:themeColor="text1"/>
          <w:kern w:val="2"/>
          <w:sz w:val="32"/>
          <w:szCs w:val="32"/>
          <w:lang w:val="en-US" w:eastAsia="zh-CN"/>
          <w14:textFill>
            <w14:solidFill>
              <w14:schemeClr w14:val="tx1"/>
            </w14:solidFill>
          </w14:textFill>
        </w:rPr>
        <w:t>一是</w:t>
      </w:r>
      <w:r>
        <w:rPr>
          <w:rFonts w:hint="eastAsia" w:ascii="Times New Roman" w:hAnsi="Times New Roman" w:eastAsia="仿宋_GB2312" w:cs="Times New Roman"/>
          <w:b/>
          <w:bCs/>
          <w:color w:val="000000" w:themeColor="text1"/>
          <w:kern w:val="2"/>
          <w:sz w:val="32"/>
          <w:szCs w:val="32"/>
          <w:lang w:val="en-US" w:eastAsia="zh-CN"/>
          <w14:textFill>
            <w14:solidFill>
              <w14:schemeClr w14:val="tx1"/>
            </w14:solidFill>
          </w14:textFill>
        </w:rPr>
        <w:t>以学校为抓手，强化守规意识。</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充分利用“校家警”联动机制，开展“戴盔率”、守交规达标竞赛，定期通报骑乘电动自行车安全头盔佩戴率。</w:t>
      </w:r>
      <w:r>
        <w:rPr>
          <w:rFonts w:hint="eastAsia" w:ascii="Times New Roman" w:hAnsi="Times New Roman" w:eastAsia="仿宋_GB2312" w:cs="Times New Roman"/>
          <w:b/>
          <w:bCs/>
          <w:color w:val="000000" w:themeColor="text1"/>
          <w:kern w:val="2"/>
          <w:sz w:val="32"/>
          <w:szCs w:val="32"/>
          <w:lang w:val="en-US" w:eastAsia="zh-CN"/>
          <w14:textFill>
            <w14:solidFill>
              <w14:schemeClr w14:val="tx1"/>
            </w14:solidFill>
          </w14:textFill>
        </w:rPr>
        <w:t>二是以企业为抓手，强化社会参与。</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组织各大企业新学驾驶人、从业人员、重点车辆驾驶人参加文明交通劝导公益活动。</w:t>
      </w:r>
      <w:r>
        <w:rPr>
          <w:rFonts w:hint="eastAsia" w:ascii="Times New Roman" w:hAnsi="Times New Roman" w:eastAsia="仿宋_GB2312" w:cs="Times New Roman"/>
          <w:b/>
          <w:bCs/>
          <w:color w:val="000000" w:themeColor="text1"/>
          <w:kern w:val="2"/>
          <w:sz w:val="32"/>
          <w:szCs w:val="32"/>
          <w:lang w:val="en-US" w:eastAsia="zh-CN"/>
          <w14:textFill>
            <w14:solidFill>
              <w14:schemeClr w14:val="tx1"/>
            </w14:solidFill>
          </w14:textFill>
        </w:rPr>
        <w:t>三是以勤务为抓手，强化前端管理。</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在坚持既有的“房物警”、“地+警”联动机制上，细化分类管理、实现共同治理，实行科学管理，将社区、小区、单位违法劝导做实做细，将路口、路段、路面违法查处抓严抓密，将城区禁行路段、禁行区域扩大扩面。</w:t>
      </w:r>
      <w:r>
        <w:rPr>
          <w:rFonts w:hint="eastAsia" w:ascii="Times New Roman" w:hAnsi="Times New Roman" w:eastAsia="仿宋_GB2312" w:cs="Times New Roman"/>
          <w:b/>
          <w:bCs/>
          <w:color w:val="000000" w:themeColor="text1"/>
          <w:kern w:val="2"/>
          <w:sz w:val="32"/>
          <w:szCs w:val="32"/>
          <w:lang w:val="en-US" w:eastAsia="zh-CN"/>
          <w14:textFill>
            <w14:solidFill>
              <w14:schemeClr w14:val="tx1"/>
            </w14:solidFill>
          </w14:textFill>
        </w:rPr>
        <w:t>四是以创建为抓手，强化精细作业。</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依托全国文明城市创建，开展安全文明交通提升行动，落实针对性宣传内容、创新亲和力宣传手段，分网格、单位、学校开展宣传，严格检查考评，实现人人提升素质、人人心中有责的目标。</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2.强化</w:t>
      </w:r>
      <w:r>
        <w:rPr>
          <w:rFonts w:hint="default" w:ascii="楷体_GB2312" w:hAnsi="楷体_GB2312" w:eastAsia="楷体_GB2312" w:cs="楷体_GB2312"/>
          <w:color w:val="000000" w:themeColor="text1"/>
          <w:sz w:val="32"/>
          <w:szCs w:val="32"/>
          <w:lang w:val="en-US" w:eastAsia="zh-CN"/>
          <w14:textFill>
            <w14:solidFill>
              <w14:schemeClr w14:val="tx1"/>
            </w14:solidFill>
          </w14:textFill>
        </w:rPr>
        <w:t>“四</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车监管</w:t>
      </w:r>
      <w:r>
        <w:rPr>
          <w:rFonts w:hint="default" w:ascii="楷体_GB2312" w:hAnsi="楷体_GB2312" w:eastAsia="楷体_GB2312" w:cs="楷体_GB2312"/>
          <w:color w:val="000000" w:themeColor="text1"/>
          <w:sz w:val="32"/>
          <w:szCs w:val="32"/>
          <w:lang w:val="en-US" w:eastAsia="zh-CN"/>
          <w14:textFill>
            <w14:solidFill>
              <w14:schemeClr w14:val="tx1"/>
            </w14:solidFill>
          </w14:textFill>
        </w:rPr>
        <w:t>”，</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完善</w:t>
      </w:r>
      <w:r>
        <w:rPr>
          <w:rFonts w:hint="default" w:ascii="楷体_GB2312" w:hAnsi="楷体_GB2312" w:eastAsia="楷体_GB2312" w:cs="楷体_GB2312"/>
          <w:color w:val="000000" w:themeColor="text1"/>
          <w:sz w:val="32"/>
          <w:szCs w:val="32"/>
          <w:lang w:val="en-US" w:eastAsia="zh-CN"/>
          <w14:textFill>
            <w14:solidFill>
              <w14:schemeClr w14:val="tx1"/>
            </w14:solidFill>
          </w14:textFill>
        </w:rPr>
        <w:t>规范管理。</w:t>
      </w:r>
      <w:r>
        <w:rPr>
          <w:rFonts w:hint="default" w:ascii="Times New Roman" w:hAnsi="Times New Roman" w:eastAsia="仿宋_GB2312" w:cs="Times New Roman"/>
          <w:b/>
          <w:bCs/>
          <w:color w:val="000000" w:themeColor="text1"/>
          <w:kern w:val="2"/>
          <w:sz w:val="32"/>
          <w:szCs w:val="32"/>
          <w:lang w:val="en-US" w:eastAsia="zh-CN"/>
          <w14:textFill>
            <w14:solidFill>
              <w14:schemeClr w14:val="tx1"/>
            </w14:solidFill>
          </w14:textFill>
        </w:rPr>
        <w:t>一是全力加强残疾人代步车规范监管。</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市残联出台“残疾人代步车行业自律规范”，对残疾人代步车实行统一车型、统一编号管理。</w:t>
      </w:r>
      <w:r>
        <w:rPr>
          <w:rFonts w:hint="default" w:ascii="Times New Roman" w:hAnsi="Times New Roman" w:eastAsia="仿宋_GB2312" w:cs="Times New Roman"/>
          <w:b/>
          <w:bCs/>
          <w:color w:val="000000" w:themeColor="text1"/>
          <w:kern w:val="2"/>
          <w:sz w:val="32"/>
          <w:szCs w:val="32"/>
          <w:lang w:val="en-US" w:eastAsia="zh-CN"/>
          <w14:textFill>
            <w14:solidFill>
              <w14:schemeClr w14:val="tx1"/>
            </w14:solidFill>
          </w14:textFill>
        </w:rPr>
        <w:t>二是全力加强邮政快递车规范监管。</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市邮政分公司（快递协会）出台“邮政快递车辆行业自律规范”，对邮政快递车实行车辆外观标识、车辆尺寸、编号放大、登记发证“四统一”管理。</w:t>
      </w:r>
      <w:r>
        <w:rPr>
          <w:rFonts w:hint="default" w:ascii="Times New Roman" w:hAnsi="Times New Roman" w:eastAsia="仿宋_GB2312" w:cs="Times New Roman"/>
          <w:b/>
          <w:bCs/>
          <w:color w:val="000000" w:themeColor="text1"/>
          <w:kern w:val="2"/>
          <w:sz w:val="32"/>
          <w:szCs w:val="32"/>
          <w:lang w:val="en-US" w:eastAsia="zh-CN"/>
          <w14:textFill>
            <w14:solidFill>
              <w14:schemeClr w14:val="tx1"/>
            </w14:solidFill>
          </w14:textFill>
        </w:rPr>
        <w:t>三是全力加强外卖配送车规范监管。</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市市场监</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督</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管</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理</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局制定外卖配送行业车辆相关管理制度，实行登记上牌、戴安全头盔、统一编号“三统一”管理。</w:t>
      </w:r>
      <w:r>
        <w:rPr>
          <w:rFonts w:hint="default" w:ascii="Times New Roman" w:hAnsi="Times New Roman" w:eastAsia="仿宋_GB2312" w:cs="Times New Roman"/>
          <w:b/>
          <w:bCs/>
          <w:color w:val="000000" w:themeColor="text1"/>
          <w:kern w:val="2"/>
          <w:sz w:val="32"/>
          <w:szCs w:val="32"/>
          <w:lang w:val="en-US" w:eastAsia="zh-CN"/>
          <w14:textFill>
            <w14:solidFill>
              <w14:schemeClr w14:val="tx1"/>
            </w14:solidFill>
          </w14:textFill>
        </w:rPr>
        <w:t>四是全力加强专项作业车规范监管。</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压实</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市城</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市</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管</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理</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局、住建局、商务局</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等部门责任，</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加强对环卫车、运送瓶装液化气车、农贸市场“菜篮子”运输车等电动三轮车监管。</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3.做实“四个严管”，全力管控源头。</w:t>
      </w:r>
      <w:r>
        <w:rPr>
          <w:rFonts w:hint="default" w:ascii="Times New Roman" w:hAnsi="Times New Roman" w:eastAsia="仿宋_GB2312" w:cs="Times New Roman"/>
          <w:b/>
          <w:bCs/>
          <w:color w:val="000000" w:themeColor="text1"/>
          <w:kern w:val="2"/>
          <w:sz w:val="32"/>
          <w:szCs w:val="32"/>
          <w:lang w:val="en-US" w:eastAsia="zh-CN"/>
          <w14:textFill>
            <w14:solidFill>
              <w14:schemeClr w14:val="tx1"/>
            </w14:solidFill>
          </w14:textFill>
        </w:rPr>
        <w:t>一是严管销售源头。</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市场监</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督</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管</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理</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局加强巡查检查，禁绝四轮电瓶车在我市销售渠道，一经发现新增，严格倒查</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重罚</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，杜绝非标电动车继续销售。</w:t>
      </w:r>
      <w:r>
        <w:rPr>
          <w:rFonts w:hint="default" w:ascii="Times New Roman" w:hAnsi="Times New Roman" w:eastAsia="仿宋_GB2312" w:cs="Times New Roman"/>
          <w:b/>
          <w:bCs/>
          <w:color w:val="000000" w:themeColor="text1"/>
          <w:kern w:val="2"/>
          <w:sz w:val="32"/>
          <w:szCs w:val="32"/>
          <w:lang w:val="en-US" w:eastAsia="zh-CN"/>
          <w14:textFill>
            <w14:solidFill>
              <w14:schemeClr w14:val="tx1"/>
            </w14:solidFill>
          </w14:textFill>
        </w:rPr>
        <w:t>二是严管机非分离。</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市规划局、</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住建</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局、交通运输局将城区所有断头路打通，形成完善的机非分离城市道路体系，</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将电动车限制在非机动车道上行驶作为治理乱象重要良方</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组织交警部门加大路口管理、巡查力度，严防电动车在机动车道上横穿。</w:t>
      </w:r>
      <w:r>
        <w:rPr>
          <w:rFonts w:hint="default" w:ascii="Times New Roman" w:hAnsi="Times New Roman" w:eastAsia="仿宋_GB2312" w:cs="Times New Roman"/>
          <w:b/>
          <w:bCs/>
          <w:color w:val="000000" w:themeColor="text1"/>
          <w:kern w:val="2"/>
          <w:sz w:val="32"/>
          <w:szCs w:val="32"/>
          <w:lang w:val="en-US" w:eastAsia="zh-CN"/>
          <w14:textFill>
            <w14:solidFill>
              <w14:schemeClr w14:val="tx1"/>
            </w14:solidFill>
          </w14:textFill>
        </w:rPr>
        <w:t>三是严管小区门禁。</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市住保中心、街道办事处和社区加大工作合力，引导监督小区门禁有效作为，禁止四轮电瓶车出门上路，禁止不戴头盔、没有车牌、加装篷伞的二轮电动车出入。</w:t>
      </w:r>
      <w:r>
        <w:rPr>
          <w:rFonts w:hint="default" w:ascii="Times New Roman" w:hAnsi="Times New Roman" w:eastAsia="仿宋_GB2312" w:cs="Times New Roman"/>
          <w:b/>
          <w:bCs/>
          <w:color w:val="000000" w:themeColor="text1"/>
          <w:kern w:val="2"/>
          <w:sz w:val="32"/>
          <w:szCs w:val="32"/>
          <w:lang w:val="en-US" w:eastAsia="zh-CN"/>
          <w14:textFill>
            <w14:solidFill>
              <w14:schemeClr w14:val="tx1"/>
            </w14:solidFill>
          </w14:textFill>
        </w:rPr>
        <w:t>四是严管限行道路。</w:t>
      </w:r>
      <w:r>
        <w:rPr>
          <w:rFonts w:hint="default"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实行特殊政策、采取特殊措施，严格路口、路中管理，让严管限行路成为不再拥堵、没有乱象的样板路</w:t>
      </w:r>
      <w:r>
        <w:rPr>
          <w:rFonts w:hint="eastAsia" w:ascii="Times New Roman" w:hAnsi="Times New Roman" w:eastAsia="仿宋_GB2312" w:cs="Times New Roman"/>
          <w:b w:val="0"/>
          <w:bCs w:val="0"/>
          <w:color w:val="000000" w:themeColor="text1"/>
          <w:kern w:val="2"/>
          <w:sz w:val="32"/>
          <w:szCs w:val="32"/>
          <w:lang w:val="en-US" w:eastAsia="zh-CN"/>
          <w14:textFill>
            <w14:solidFill>
              <w14:schemeClr w14:val="tx1"/>
            </w14:solidFill>
          </w14:textFill>
        </w:rPr>
        <w:t>。</w:t>
      </w:r>
    </w:p>
    <w:p>
      <w:pPr>
        <w:keepNext w:val="0"/>
        <w:keepLines w:val="0"/>
        <w:pageBreakBefore w:val="0"/>
        <w:shd w:val="clear"/>
        <w:kinsoku/>
        <w:wordWrap/>
        <w:overflowPunct/>
        <w:topLinePunct w:val="0"/>
        <w:autoSpaceDE/>
        <w:autoSpaceDN/>
        <w:bidi w:val="0"/>
        <w:adjustRightInd/>
        <w:snapToGrid/>
        <w:spacing w:line="560" w:lineRule="exact"/>
        <w:textAlignment w:val="auto"/>
        <w:rPr>
          <w:color w:val="000000" w:themeColor="text1"/>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r>
        <w:rPr>
          <w:rFonts w:hint="default" w:ascii="Times New Roman" w:hAnsi="Times New Roman"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厚植发展土壤  激发创新活力</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w:t>
      </w: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关于加强我市数字经济建设的建议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工交外经委员组</w:t>
      </w:r>
      <w:r>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 xml:space="preserve">  柯善杰</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pP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数字经济是继农业经济、工业经济之后的一种新的经济形态，其特性表现在：以数据资源为关键要素、以现代信息网络为主要载体，以信息通信技术融合应用、全要素数字化转型为重要推动力。经过电子商务与电子交易形态的探索期、政府政策助力推广的拓展期，现已到达被广泛认知，上升到国家战略的成型期。数字经济发展速度快、辐射范围广、影响程度深，正推动生产方式、生活方式和治理方式深刻变革，成为重组全球要素资源、重塑全球经济结构、改变全球竞争格局的关键力量。</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pP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赛迪顾问综合考量中国各大城市GDP水平及数字经济数值，发布了2021年“中国数字经济百强城市榜单”，数字经济百强城市主要聚集在京津冀、长三角、粤港澳三大核心城市群。湖北省仅三个城市上榜，武汉市名列第11位，属新一线城市；襄阳市名列第67位</w:t>
      </w:r>
      <w:r>
        <w:rPr>
          <w:rFonts w:hint="eastAsia" w:eastAsia="仿宋_GB2312" w:cs="Times New Roman"/>
          <w:color w:val="000000" w:themeColor="text1"/>
          <w:spacing w:val="0"/>
          <w:sz w:val="32"/>
          <w:szCs w:val="32"/>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宜昌市名列第84位，属三线城市；仙桃市未能上榜，说明我省数字经济整体水平不高，仙桃市的数字经济发展还处于起步阶段。</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pP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在国内各大城市把数字经济作为转型升级、跨越发展的新起点全力拼抢冲刺时，仙桃想要跻身县域经济“五十强”、拥有与东部沿海发达城市同场竞技的资格、实现经济弯道超车，必须抢抓这一波发展机遇，大力培植数字经济发展土壤，营造创新发展氛围，克服人才不足短板，聚焦产业数字化转型，为后续竞争增底气、攒实力、抢夺话语权。为此，我们提出如下建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1.做实一个园区平台。</w:t>
      </w:r>
      <w:r>
        <w:rPr>
          <w:rFonts w:hint="default" w:ascii="Times New Roman" w:hAnsi="Times New Roman" w:eastAsia="仿宋_GB2312" w:cs="Times New Roman"/>
          <w:color w:val="000000" w:themeColor="text1"/>
          <w:spacing w:val="0"/>
          <w:sz w:val="32"/>
          <w:szCs w:val="32"/>
          <w14:textFill>
            <w14:solidFill>
              <w14:schemeClr w14:val="tx1"/>
            </w14:solidFill>
          </w14:textFill>
        </w:rPr>
        <w:t>由市城发投集团公司投资建设的数字经济产业园总规划面积约6万平方米，孵化大厦、培训学校、道路及市政配套即将完工。通过前期洽谈，京东科技、中国电子、北京大华易创科技、京科控股等公司有意向参与数字经济产业园建设，爱笔（北京）智能科技总部搬迁项目、运力派智能集装箱项目、致景科技智能化面料仓库项目有一定的落户基础，建议尽快明确数字经济产业园的产业定位和招商方向，拿出建设计划和招商方案，按照一年起步、两年做实、三年做强的思路，将存量盘活、园区做实。</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2</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w:t>
      </w:r>
      <w:r>
        <w:rPr>
          <w:rFonts w:hint="default" w:ascii="楷体_GB2312" w:hAnsi="楷体_GB2312" w:eastAsia="楷体_GB2312" w:cs="楷体_GB2312"/>
          <w:color w:val="000000" w:themeColor="text1"/>
          <w:sz w:val="32"/>
          <w:szCs w:val="32"/>
          <w:lang w:val="en-US" w:eastAsia="zh-CN"/>
          <w14:textFill>
            <w14:solidFill>
              <w14:schemeClr w14:val="tx1"/>
            </w14:solidFill>
          </w14:textFill>
        </w:rPr>
        <w:t>打造两个产业示范。</w:t>
      </w:r>
      <w:r>
        <w:rPr>
          <w:rFonts w:hint="default" w:ascii="Times New Roman" w:hAnsi="Times New Roman" w:eastAsia="仿宋_GB2312" w:cs="Times New Roman"/>
          <w:color w:val="000000" w:themeColor="text1"/>
          <w:spacing w:val="0"/>
          <w:sz w:val="32"/>
          <w:szCs w:val="32"/>
          <w14:textFill>
            <w14:solidFill>
              <w14:schemeClr w14:val="tx1"/>
            </w14:solidFill>
          </w14:textFill>
        </w:rPr>
        <w:t>虽然我市一、二产数字化转型起步较晚，但某些产业或少数龙头企业已具备数字化转型的条件。如我市工、农业的首位产业非织造布和黄鳝产业都已具备较大的产业规模和较强的发展优势，同时又面临极大的提升瓶颈，是实施产业数字化示范的较好选择。建议可按照“整体规划引领、公共平台先行、典型试点示范、全面推广应用”的路径实施推进，一方面，可以由政府主导，建设这两个产业的数字化服务平台，对全产业链开展全过程辅导和服务，提升产业整体数字化率；另一方面，可以以企业投入为主、财政奖励补助为辅，引领企业参与数字化转型。</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pPr>
      <w:r>
        <w:rPr>
          <w:rFonts w:hint="default" w:ascii="楷体_GB2312" w:hAnsi="楷体_GB2312" w:eastAsia="楷体_GB2312" w:cs="楷体_GB2312"/>
          <w:color w:val="000000" w:themeColor="text1"/>
          <w:spacing w:val="0"/>
          <w:sz w:val="32"/>
          <w:szCs w:val="32"/>
          <w:shd w:val="clear" w:color="auto" w:fill="FFFFFF"/>
          <w14:textFill>
            <w14:solidFill>
              <w14:schemeClr w14:val="tx1"/>
            </w14:solidFill>
          </w14:textFill>
        </w:rPr>
        <w:t>3</w:t>
      </w:r>
      <w:r>
        <w:rPr>
          <w:rFonts w:hint="eastAsia" w:ascii="楷体_GB2312" w:hAnsi="楷体_GB2312" w:eastAsia="楷体_GB2312" w:cs="楷体_GB2312"/>
          <w:color w:val="000000" w:themeColor="text1"/>
          <w:spacing w:val="0"/>
          <w:sz w:val="32"/>
          <w:szCs w:val="32"/>
          <w:shd w:val="clear" w:color="auto" w:fill="FFFFFF"/>
          <w:lang w:eastAsia="zh-CN"/>
          <w14:textFill>
            <w14:solidFill>
              <w14:schemeClr w14:val="tx1"/>
            </w14:solidFill>
          </w14:textFill>
        </w:rPr>
        <w:t>.</w:t>
      </w:r>
      <w:r>
        <w:rPr>
          <w:rFonts w:hint="default" w:ascii="楷体_GB2312" w:hAnsi="楷体_GB2312" w:eastAsia="楷体_GB2312" w:cs="楷体_GB2312"/>
          <w:color w:val="000000" w:themeColor="text1"/>
          <w:spacing w:val="0"/>
          <w:sz w:val="32"/>
          <w:szCs w:val="32"/>
          <w:shd w:val="clear" w:color="auto" w:fill="FFFFFF"/>
          <w14:textFill>
            <w14:solidFill>
              <w14:schemeClr w14:val="tx1"/>
            </w14:solidFill>
          </w14:textFill>
        </w:rPr>
        <w:t>引育三类急缺人才。</w:t>
      </w:r>
      <w:r>
        <w:rPr>
          <w:rFonts w:hint="eastAsia" w:ascii="仿宋_GB2312" w:hAnsi="仿宋_GB2312" w:eastAsia="仿宋_GB2312" w:cs="仿宋_GB2312"/>
          <w:b/>
          <w:bCs/>
          <w:color w:val="000000" w:themeColor="text1"/>
          <w:spacing w:val="0"/>
          <w:sz w:val="32"/>
          <w:szCs w:val="32"/>
          <w:shd w:val="clear" w:color="auto" w:fill="FFFFFF"/>
          <w14:textFill>
            <w14:solidFill>
              <w14:schemeClr w14:val="tx1"/>
            </w14:solidFill>
          </w14:textFill>
        </w:rPr>
        <w:t>一是加快培育具有数字经济思维的“决策层”。</w:t>
      </w: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通过开办专题培训班、企业家高端讲座等形式，为政府相关决策者和企业负责人大补数字经济专业知识，为其工作决策提供理论支撑</w:t>
      </w:r>
      <w:r>
        <w:rPr>
          <w:rFonts w:hint="eastAsia" w:eastAsia="仿宋_GB2312" w:cs="Times New Roman"/>
          <w:color w:val="000000" w:themeColor="text1"/>
          <w:spacing w:val="0"/>
          <w:sz w:val="32"/>
          <w:szCs w:val="32"/>
          <w:shd w:val="clear" w:color="auto" w:fill="FFFFFF"/>
          <w:lang w:eastAsia="zh-CN"/>
          <w14:textFill>
            <w14:solidFill>
              <w14:schemeClr w14:val="tx1"/>
            </w14:solidFill>
          </w14:textFill>
        </w:rPr>
        <w:t>。</w:t>
      </w:r>
      <w:r>
        <w:rPr>
          <w:rFonts w:hint="default" w:ascii="仿宋_GB2312" w:hAnsi="仿宋_GB2312" w:eastAsia="仿宋_GB2312" w:cs="仿宋_GB2312"/>
          <w:b/>
          <w:bCs/>
          <w:color w:val="000000" w:themeColor="text1"/>
          <w:spacing w:val="0"/>
          <w:sz w:val="32"/>
          <w:szCs w:val="32"/>
          <w:shd w:val="clear" w:color="auto" w:fill="FFFFFF"/>
          <w14:textFill>
            <w14:solidFill>
              <w14:schemeClr w14:val="tx1"/>
            </w14:solidFill>
          </w14:textFill>
        </w:rPr>
        <w:t>二是不拘一格招引专业化水准的“智囊团”。</w:t>
      </w: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政府示范引领，鼓励企业采取各种方式从各科研院所、高校或外部企业聘用专业人才开展工作指导</w:t>
      </w:r>
      <w:r>
        <w:rPr>
          <w:rFonts w:hint="eastAsia" w:eastAsia="仿宋_GB2312" w:cs="Times New Roman"/>
          <w:color w:val="000000" w:themeColor="text1"/>
          <w:spacing w:val="0"/>
          <w:sz w:val="32"/>
          <w:szCs w:val="32"/>
          <w:shd w:val="clear" w:color="auto" w:fill="FFFFFF"/>
          <w:lang w:eastAsia="zh-CN"/>
          <w14:textFill>
            <w14:solidFill>
              <w14:schemeClr w14:val="tx1"/>
            </w14:solidFill>
          </w14:textFill>
        </w:rPr>
        <w:t>。</w:t>
      </w:r>
      <w:r>
        <w:rPr>
          <w:rFonts w:hint="default" w:ascii="仿宋_GB2312" w:hAnsi="仿宋_GB2312" w:eastAsia="仿宋_GB2312" w:cs="仿宋_GB2312"/>
          <w:b/>
          <w:bCs/>
          <w:color w:val="000000" w:themeColor="text1"/>
          <w:spacing w:val="0"/>
          <w:sz w:val="32"/>
          <w:szCs w:val="32"/>
          <w:shd w:val="clear" w:color="auto" w:fill="FFFFFF"/>
          <w14:textFill>
            <w14:solidFill>
              <w14:schemeClr w14:val="tx1"/>
            </w14:solidFill>
          </w14:textFill>
        </w:rPr>
        <w:t>三是引育并重培养一批具有实操经验的“操盘手”。</w:t>
      </w: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按照“先急后缓”的原则，对率先开展企业数字化改造的企业员工开展数字化培训；对接企业需求，在仙桃职业学院开设相关专业，为产业数字化培养储备技能人才。</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pPr>
      <w:r>
        <w:rPr>
          <w:rFonts w:hint="default" w:ascii="楷体_GB2312" w:hAnsi="楷体_GB2312" w:eastAsia="楷体_GB2312" w:cs="楷体_GB2312"/>
          <w:color w:val="000000" w:themeColor="text1"/>
          <w:spacing w:val="0"/>
          <w:sz w:val="32"/>
          <w:szCs w:val="32"/>
          <w:shd w:val="clear" w:color="auto" w:fill="FFFFFF"/>
          <w14:textFill>
            <w14:solidFill>
              <w14:schemeClr w14:val="tx1"/>
            </w14:solidFill>
          </w14:textFill>
        </w:rPr>
        <w:t>4</w:t>
      </w:r>
      <w:r>
        <w:rPr>
          <w:rFonts w:hint="eastAsia" w:ascii="楷体_GB2312" w:hAnsi="楷体_GB2312" w:eastAsia="楷体_GB2312" w:cs="楷体_GB2312"/>
          <w:color w:val="000000" w:themeColor="text1"/>
          <w:spacing w:val="0"/>
          <w:sz w:val="32"/>
          <w:szCs w:val="32"/>
          <w:shd w:val="clear" w:color="auto" w:fill="FFFFFF"/>
          <w:lang w:eastAsia="zh-CN"/>
          <w14:textFill>
            <w14:solidFill>
              <w14:schemeClr w14:val="tx1"/>
            </w14:solidFill>
          </w14:textFill>
        </w:rPr>
        <w:t>.</w:t>
      </w:r>
      <w:r>
        <w:rPr>
          <w:rFonts w:hint="default" w:ascii="楷体_GB2312" w:hAnsi="楷体_GB2312" w:eastAsia="楷体_GB2312" w:cs="楷体_GB2312"/>
          <w:color w:val="000000" w:themeColor="text1"/>
          <w:spacing w:val="0"/>
          <w:sz w:val="32"/>
          <w:szCs w:val="32"/>
          <w:shd w:val="clear" w:color="auto" w:fill="FFFFFF"/>
          <w14:textFill>
            <w14:solidFill>
              <w14:schemeClr w14:val="tx1"/>
            </w14:solidFill>
          </w14:textFill>
        </w:rPr>
        <w:t>着手四项基础性工作。</w:t>
      </w:r>
      <w:r>
        <w:rPr>
          <w:rFonts w:hint="default" w:ascii="仿宋_GB2312" w:hAnsi="仿宋_GB2312" w:eastAsia="仿宋_GB2312" w:cs="仿宋_GB2312"/>
          <w:b/>
          <w:bCs/>
          <w:color w:val="000000" w:themeColor="text1"/>
          <w:spacing w:val="0"/>
          <w:sz w:val="32"/>
          <w:szCs w:val="32"/>
          <w:shd w:val="clear" w:color="auto" w:fill="FFFFFF"/>
          <w14:textFill>
            <w14:solidFill>
              <w14:schemeClr w14:val="tx1"/>
            </w14:solidFill>
          </w14:textFill>
        </w:rPr>
        <w:t>一是成立一个工作领导小组。</w:t>
      </w: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市委市政府要迅速成立高规格的全市数字经济工作领导小组，并组建工业专班。</w:t>
      </w:r>
      <w:r>
        <w:rPr>
          <w:rFonts w:hint="default" w:ascii="仿宋_GB2312" w:hAnsi="仿宋_GB2312" w:eastAsia="仿宋_GB2312" w:cs="仿宋_GB2312"/>
          <w:b/>
          <w:bCs/>
          <w:color w:val="000000" w:themeColor="text1"/>
          <w:spacing w:val="0"/>
          <w:sz w:val="32"/>
          <w:szCs w:val="32"/>
          <w:shd w:val="clear" w:color="auto" w:fill="FFFFFF"/>
          <w14:textFill>
            <w14:solidFill>
              <w14:schemeClr w14:val="tx1"/>
            </w14:solidFill>
          </w14:textFill>
        </w:rPr>
        <w:t>二要制订一个三年行动方案。</w:t>
      </w: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研究学习国家、省级层面关于数字经济相关政策和规划，结合仙桃实际，制订我市数字经济发展三年行动方案，做到任务项目化、项目清单化。</w:t>
      </w:r>
      <w:r>
        <w:rPr>
          <w:rFonts w:hint="default" w:ascii="仿宋_GB2312" w:hAnsi="仿宋_GB2312" w:eastAsia="仿宋_GB2312" w:cs="仿宋_GB2312"/>
          <w:b/>
          <w:bCs/>
          <w:color w:val="000000" w:themeColor="text1"/>
          <w:spacing w:val="0"/>
          <w:sz w:val="32"/>
          <w:szCs w:val="32"/>
          <w:shd w:val="clear" w:color="auto" w:fill="FFFFFF"/>
          <w14:textFill>
            <w14:solidFill>
              <w14:schemeClr w14:val="tx1"/>
            </w14:solidFill>
          </w14:textFill>
        </w:rPr>
        <w:t>三要研究出台一套扶持政策。</w:t>
      </w: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抢抓疫后经济恢复的窗口期，出台有针对性、有吸引力的扶持政策，外引内育，不断提高我市数字经济发展水平。</w:t>
      </w:r>
      <w:r>
        <w:rPr>
          <w:rFonts w:hint="default" w:ascii="仿宋_GB2312" w:hAnsi="仿宋_GB2312" w:eastAsia="仿宋_GB2312" w:cs="仿宋_GB2312"/>
          <w:b/>
          <w:bCs/>
          <w:color w:val="000000" w:themeColor="text1"/>
          <w:spacing w:val="0"/>
          <w:sz w:val="32"/>
          <w:szCs w:val="32"/>
          <w:shd w:val="clear" w:color="auto" w:fill="FFFFFF"/>
          <w14:textFill>
            <w14:solidFill>
              <w14:schemeClr w14:val="tx1"/>
            </w14:solidFill>
          </w14:textFill>
        </w:rPr>
        <w:t>四要打造一个产业数字平台。</w:t>
      </w: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加快与前期相关意向企业对接，明确包挂领导，组织考察评估，尽快确定切合仙桃实际的投资建设方案，加快推进“城市产业大脑”建设。</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小标宋简体" w:cs="Times New Roman"/>
          <w:color w:val="000000" w:themeColor="text1"/>
          <w:spacing w:val="0"/>
          <w:sz w:val="32"/>
          <w:szCs w:val="32"/>
          <w14:textFill>
            <w14:solidFill>
              <w14:schemeClr w14:val="tx1"/>
            </w14:solidFill>
          </w14:textFill>
        </w:rPr>
      </w:pPr>
      <w:r>
        <w:rPr>
          <w:rFonts w:hint="default" w:ascii="Times New Roman" w:hAnsi="Times New Roman" w:eastAsia="方正小标宋简体"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小标宋简体"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以新形态满足城市公共服务新需求</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——关于推进口袋公园、智能停车场、新能源汽车充电桩等公共设施实现共建共享的建议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综合二委员组  柳俊</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小标宋简体"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群众利益无小事，一枝一叶总关情。时代在进步，城市在发展，人民群众对城市功能的需求在不断拓展，满足人民群众日益增长的物质文化生活需要，始终是我们政府必须坚持的执政导向。为此，推进新型城市建设，必须站在问题根源和解决问题前端考虑，才能更好地</w:t>
      </w:r>
      <w:r>
        <w:rPr>
          <w:rFonts w:hint="eastAsia" w:eastAsia="仿宋_GB2312" w:cs="Times New Roman"/>
          <w:color w:val="000000" w:themeColor="text1"/>
          <w:spacing w:val="0"/>
          <w:sz w:val="32"/>
          <w:szCs w:val="32"/>
          <w:lang w:eastAsia="zh-CN"/>
          <w14:textFill>
            <w14:solidFill>
              <w14:schemeClr w14:val="tx1"/>
            </w14:solidFill>
          </w14:textFill>
        </w:rPr>
        <w:t>提升</w:t>
      </w:r>
      <w:r>
        <w:rPr>
          <w:rFonts w:hint="default" w:ascii="Times New Roman" w:hAnsi="Times New Roman" w:eastAsia="仿宋_GB2312" w:cs="Times New Roman"/>
          <w:color w:val="000000" w:themeColor="text1"/>
          <w:spacing w:val="0"/>
          <w:sz w:val="32"/>
          <w:szCs w:val="32"/>
          <w14:textFill>
            <w14:solidFill>
              <w14:schemeClr w14:val="tx1"/>
            </w14:solidFill>
          </w14:textFill>
        </w:rPr>
        <w:t>城市宜居度和更好实现城市</w:t>
      </w:r>
      <w:r>
        <w:rPr>
          <w:rFonts w:hint="eastAsia" w:eastAsia="仿宋_GB2312" w:cs="Times New Roman"/>
          <w:color w:val="000000" w:themeColor="text1"/>
          <w:spacing w:val="0"/>
          <w:sz w:val="32"/>
          <w:szCs w:val="32"/>
          <w:lang w:eastAsia="zh-CN"/>
          <w14:textFill>
            <w14:solidFill>
              <w14:schemeClr w14:val="tx1"/>
            </w14:solidFill>
          </w14:textFill>
        </w:rPr>
        <w:t>现代</w:t>
      </w:r>
      <w:r>
        <w:rPr>
          <w:rFonts w:hint="default" w:ascii="Times New Roman" w:hAnsi="Times New Roman" w:eastAsia="仿宋_GB2312" w:cs="Times New Roman"/>
          <w:color w:val="000000" w:themeColor="text1"/>
          <w:spacing w:val="0"/>
          <w:sz w:val="32"/>
          <w:szCs w:val="32"/>
          <w14:textFill>
            <w14:solidFill>
              <w14:schemeClr w14:val="tx1"/>
            </w14:solidFill>
          </w14:textFill>
        </w:rPr>
        <w:t>化。这要求我们必须要有超前眼光和超前谋划，来预判城市发展，以新形态来满足城市公共服务新需求。</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近几年来，我市通过常态化文明城市创建，有序推进城市建设和更新改造，城市面貌日新月异，人居环境日益改善。但在</w:t>
      </w:r>
      <w:r>
        <w:rPr>
          <w:rFonts w:hint="eastAsia" w:eastAsia="仿宋_GB2312" w:cs="Times New Roman"/>
          <w:color w:val="000000" w:themeColor="text1"/>
          <w:spacing w:val="0"/>
          <w:sz w:val="32"/>
          <w:szCs w:val="32"/>
          <w:lang w:eastAsia="zh-CN"/>
          <w14:textFill>
            <w14:solidFill>
              <w14:schemeClr w14:val="tx1"/>
            </w14:solidFill>
          </w14:textFill>
        </w:rPr>
        <w:t>公共</w:t>
      </w:r>
      <w:r>
        <w:rPr>
          <w:rFonts w:hint="default" w:ascii="Times New Roman" w:hAnsi="Times New Roman" w:eastAsia="仿宋_GB2312" w:cs="Times New Roman"/>
          <w:color w:val="000000" w:themeColor="text1"/>
          <w:spacing w:val="0"/>
          <w:sz w:val="32"/>
          <w:szCs w:val="32"/>
          <w14:textFill>
            <w14:solidFill>
              <w14:schemeClr w14:val="tx1"/>
            </w14:solidFill>
          </w14:textFill>
        </w:rPr>
        <w:t>服务方面还着一些短板和不足。</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一是绿地不充分。</w:t>
      </w:r>
      <w:r>
        <w:rPr>
          <w:rFonts w:hint="default" w:ascii="Times New Roman" w:hAnsi="Times New Roman" w:eastAsia="仿宋_GB2312" w:cs="Times New Roman"/>
          <w:color w:val="000000" w:themeColor="text1"/>
          <w:spacing w:val="0"/>
          <w:sz w:val="32"/>
          <w:szCs w:val="32"/>
          <w14:textFill>
            <w14:solidFill>
              <w14:schemeClr w14:val="tx1"/>
            </w14:solidFill>
          </w14:textFill>
        </w:rPr>
        <w:t>由于受到“建筑优先、绿地填空”传统思想影响，产生了“见缝插绿”观念，存在规划不均衡的问题，特别是老城区，由于规划起点低，导致疏密不一，老百姓的锻炼、休闲得不到保障</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b/>
          <w:color w:val="000000" w:themeColor="text1"/>
          <w:spacing w:val="0"/>
          <w:sz w:val="32"/>
          <w:szCs w:val="32"/>
          <w14:textFill>
            <w14:solidFill>
              <w14:schemeClr w14:val="tx1"/>
            </w14:solidFill>
          </w14:textFill>
        </w:rPr>
        <w:t>二是充电桩布局不合理。</w:t>
      </w:r>
      <w:r>
        <w:rPr>
          <w:rFonts w:hint="default" w:ascii="Times New Roman" w:hAnsi="Times New Roman" w:eastAsia="仿宋_GB2312" w:cs="Times New Roman"/>
          <w:color w:val="000000" w:themeColor="text1"/>
          <w:spacing w:val="0"/>
          <w:sz w:val="32"/>
          <w:szCs w:val="32"/>
          <w14:textFill>
            <w14:solidFill>
              <w14:schemeClr w14:val="tx1"/>
            </w14:solidFill>
          </w14:textFill>
        </w:rPr>
        <w:t>由于新能源汽车具有节能减排的优势，虽然在我市得到了推广和应用，但充电桩存在分布不合理</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密度低等问题，给车主充电带来不便。</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三是停车供需矛盾突出。</w:t>
      </w:r>
      <w:r>
        <w:rPr>
          <w:rFonts w:hint="default" w:ascii="Times New Roman" w:hAnsi="Times New Roman" w:eastAsia="仿宋_GB2312" w:cs="Times New Roman"/>
          <w:color w:val="000000" w:themeColor="text1"/>
          <w:spacing w:val="0"/>
          <w:sz w:val="32"/>
          <w:szCs w:val="32"/>
          <w14:textFill>
            <w14:solidFill>
              <w14:schemeClr w14:val="tx1"/>
            </w14:solidFill>
          </w14:textFill>
        </w:rPr>
        <w:t>随着我市</w:t>
      </w: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汽车保有量的持续高速增长，而停车场建设的滞后，商圈、学校、医院、老旧小区等区域尤为明显，</w:t>
      </w:r>
      <w:r>
        <w:rPr>
          <w:rFonts w:hint="default" w:ascii="Times New Roman" w:hAnsi="Times New Roman" w:eastAsia="仿宋_GB2312" w:cs="Times New Roman"/>
          <w:color w:val="000000" w:themeColor="text1"/>
          <w:spacing w:val="0"/>
          <w:sz w:val="32"/>
          <w:szCs w:val="32"/>
          <w14:textFill>
            <w14:solidFill>
              <w14:schemeClr w14:val="tx1"/>
            </w14:solidFill>
          </w14:textFill>
        </w:rPr>
        <w:t>进出不方便，未能实现停车资源利用的最大化与服务的最优化。这些与百姓生活息息相关的公共项目，若不能给百姓带来便利，则事与愿违。针对以上问题，我建议：</w:t>
      </w:r>
    </w:p>
    <w:p>
      <w:pPr>
        <w:keepNext w:val="0"/>
        <w:keepLines w:val="0"/>
        <w:pageBreakBefore w:val="0"/>
        <w:widowControl w:val="0"/>
        <w:shd w:val="clear"/>
        <w:kinsoku/>
        <w:wordWrap/>
        <w:overflowPunct/>
        <w:topLinePunct w:val="0"/>
        <w:autoSpaceDE/>
        <w:autoSpaceDN/>
        <w:bidi w:val="0"/>
        <w:adjustRightInd/>
        <w:snapToGrid/>
        <w:spacing w:line="54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1.合理规划布局。</w:t>
      </w:r>
      <w:r>
        <w:rPr>
          <w:rFonts w:hint="default" w:ascii="Times New Roman" w:hAnsi="Times New Roman" w:eastAsia="仿宋_GB2312" w:cs="Times New Roman"/>
          <w:color w:val="000000" w:themeColor="text1"/>
          <w:spacing w:val="0"/>
          <w:sz w:val="32"/>
          <w:szCs w:val="32"/>
          <w14:textFill>
            <w14:solidFill>
              <w14:schemeClr w14:val="tx1"/>
            </w14:solidFill>
          </w14:textFill>
        </w:rPr>
        <w:t>按照“15分钟生活圈”要求，根据人口分布、密度，采取“插花”方式，有效地布局口袋公园、智能停车场和充电桩建设。按照区域一体化、服务系统化要求，把握好新型公共服务项目的建设。</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一是打造宜居环境。</w:t>
      </w:r>
      <w:r>
        <w:rPr>
          <w:rFonts w:hint="default" w:ascii="Times New Roman" w:hAnsi="Times New Roman" w:eastAsia="仿宋_GB2312" w:cs="Times New Roman"/>
          <w:color w:val="000000" w:themeColor="text1"/>
          <w:spacing w:val="0"/>
          <w:sz w:val="32"/>
          <w:szCs w:val="32"/>
          <w14:textFill>
            <w14:solidFill>
              <w14:schemeClr w14:val="tx1"/>
            </w14:solidFill>
          </w14:textFill>
        </w:rPr>
        <w:t>按照共同缔造的理念，发动居民决策共谋，通过小而美、小而精、小而多“口袋公园”布局，打通小区、形成连片，整合使用，完善可供锻炼、休闲、交流、娱乐等实用性功能。</w:t>
      </w:r>
      <w:r>
        <w:rPr>
          <w:rFonts w:hint="default" w:ascii="Times New Roman" w:hAnsi="Times New Roman" w:eastAsia="仿宋_GB2312" w:cs="Times New Roman"/>
          <w:b/>
          <w:color w:val="000000" w:themeColor="text1"/>
          <w:spacing w:val="0"/>
          <w:sz w:val="32"/>
          <w:szCs w:val="32"/>
          <w14:textFill>
            <w14:solidFill>
              <w14:schemeClr w14:val="tx1"/>
            </w14:solidFill>
          </w14:textFill>
        </w:rPr>
        <w:t>二是织密充电网络</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充电桩建设是新能源汽车在我市普及的基础和保障，按照服务车主5分钟距离的理念进行科学布局，推进社会、单位与住宅小区充电基础设施建设，加快公共充电桩成网，形成有序建设、通用开放、依托市场、充电共享的服务格局。</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三是整合停车资源</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按照“一网管全城、一屏观全域”的总体目标，覆盖城区各类停车资源，打破停车场之间的信息壁垒，利用5G技术，有序推进“车共体+”项目，建立停车诱导系统和手机APP查询系统，科学精准有效地提高车位利用率。</w:t>
      </w:r>
    </w:p>
    <w:p>
      <w:pPr>
        <w:keepNext w:val="0"/>
        <w:keepLines w:val="0"/>
        <w:pageBreakBefore w:val="0"/>
        <w:widowControl w:val="0"/>
        <w:shd w:val="clear"/>
        <w:kinsoku/>
        <w:wordWrap/>
        <w:overflowPunct/>
        <w:topLinePunct w:val="0"/>
        <w:autoSpaceDE/>
        <w:autoSpaceDN/>
        <w:bidi w:val="0"/>
        <w:adjustRightInd/>
        <w:snapToGrid/>
        <w:spacing w:line="54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2.合力推进建设。</w:t>
      </w:r>
      <w:r>
        <w:rPr>
          <w:rFonts w:hint="default" w:ascii="Times New Roman" w:hAnsi="Times New Roman" w:eastAsia="仿宋_GB2312" w:cs="Times New Roman"/>
          <w:color w:val="000000" w:themeColor="text1"/>
          <w:spacing w:val="0"/>
          <w:sz w:val="32"/>
          <w:szCs w:val="32"/>
          <w14:textFill>
            <w14:solidFill>
              <w14:schemeClr w14:val="tx1"/>
            </w14:solidFill>
          </w14:textFill>
        </w:rPr>
        <w:t>按照“政府主导、部门主抓、市场主体、群众主动”的模式，树立经营城市理念，推动社会力量参与城市基础设施建设。</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一是高标准推进“口袋公园”建设。</w:t>
      </w:r>
      <w:r>
        <w:rPr>
          <w:rFonts w:hint="default" w:ascii="Times New Roman" w:hAnsi="Times New Roman" w:eastAsia="仿宋_GB2312" w:cs="Times New Roman"/>
          <w:color w:val="000000" w:themeColor="text1"/>
          <w:spacing w:val="0"/>
          <w:sz w:val="32"/>
          <w:szCs w:val="32"/>
          <w14:textFill>
            <w14:solidFill>
              <w14:schemeClr w14:val="tx1"/>
            </w14:solidFill>
          </w14:textFill>
        </w:rPr>
        <w:t>以“增功能、增空间、增活力”为导向，采用生态修复、功能完善、文化植入手段，新（改）建便民型公园绿地，同时按照谁拿绿地、谁管护，绿地维护费用就划给谁的原则，让</w:t>
      </w: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优质的公共资源“动起来”“活起来”，渗透到百姓身边，让百姓更平等、更便捷、更廉价地共享</w:t>
      </w:r>
      <w:r>
        <w:rPr>
          <w:rFonts w:hint="default" w:ascii="Times New Roman" w:hAnsi="Times New Roman" w:eastAsia="仿宋_GB2312" w:cs="Times New Roman"/>
          <w:color w:val="000000" w:themeColor="text1"/>
          <w:spacing w:val="0"/>
          <w:sz w:val="32"/>
          <w:szCs w:val="32"/>
          <w14:textFill>
            <w14:solidFill>
              <w14:schemeClr w14:val="tx1"/>
            </w14:solidFill>
          </w14:textFill>
        </w:rPr>
        <w:t>。</w:t>
      </w:r>
      <w:r>
        <w:rPr>
          <w:rFonts w:hint="default" w:ascii="Times New Roman" w:hAnsi="Times New Roman" w:eastAsia="仿宋_GB2312" w:cs="Times New Roman"/>
          <w:b/>
          <w:color w:val="000000" w:themeColor="text1"/>
          <w:spacing w:val="0"/>
          <w:sz w:val="32"/>
          <w:szCs w:val="32"/>
          <w14:textFill>
            <w14:solidFill>
              <w14:schemeClr w14:val="tx1"/>
            </w14:solidFill>
          </w14:textFill>
        </w:rPr>
        <w:t>二是高质量建设新能源充电配套设施。</w:t>
      </w:r>
      <w:r>
        <w:rPr>
          <w:rFonts w:hint="default" w:ascii="Times New Roman" w:hAnsi="Times New Roman" w:eastAsia="仿宋_GB2312" w:cs="Times New Roman"/>
          <w:color w:val="000000" w:themeColor="text1"/>
          <w:spacing w:val="0"/>
          <w:sz w:val="32"/>
          <w:szCs w:val="32"/>
          <w14:textFill>
            <w14:solidFill>
              <w14:schemeClr w14:val="tx1"/>
            </w14:solidFill>
          </w14:textFill>
        </w:rPr>
        <w:t>按照“谁建设、谁受益”的原则，政府要加大支持力度，明确充电设施的配套要求和技术标准，制定以奖代补政策，鼓励多方力量参与共建</w:t>
      </w:r>
      <w:r>
        <w:rPr>
          <w:rFonts w:hint="default" w:ascii="Times New Roman" w:hAnsi="Times New Roman" w:cs="Times New Roman"/>
          <w:color w:val="000000" w:themeColor="text1"/>
          <w:spacing w:val="0"/>
          <w:sz w:val="32"/>
          <w:szCs w:val="32"/>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实现资源共享</w:t>
      </w:r>
      <w:r>
        <w:rPr>
          <w:rFonts w:hint="default" w:ascii="Times New Roman" w:hAnsi="Times New Roman" w:cs="Times New Roman"/>
          <w:color w:val="000000" w:themeColor="text1"/>
          <w:spacing w:val="0"/>
          <w:sz w:val="32"/>
          <w:szCs w:val="32"/>
          <w14:textFill>
            <w14:solidFill>
              <w14:schemeClr w14:val="tx1"/>
            </w14:solidFill>
          </w14:textFill>
        </w:rPr>
        <w:t>。</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三</w:t>
      </w:r>
      <w:r>
        <w:rPr>
          <w:rFonts w:hint="eastAsia" w:eastAsia="仿宋_GB2312" w:cs="Times New Roman"/>
          <w:b/>
          <w:color w:val="000000" w:themeColor="text1"/>
          <w:spacing w:val="0"/>
          <w:sz w:val="32"/>
          <w:szCs w:val="32"/>
          <w:lang w:eastAsia="zh-CN"/>
          <w14:textFill>
            <w14:solidFill>
              <w14:schemeClr w14:val="tx1"/>
            </w14:solidFill>
          </w14:textFill>
        </w:rPr>
        <w:t>是</w:t>
      </w:r>
      <w:r>
        <w:rPr>
          <w:rFonts w:hint="default" w:ascii="Times New Roman" w:hAnsi="Times New Roman" w:eastAsia="仿宋_GB2312" w:cs="Times New Roman"/>
          <w:b/>
          <w:color w:val="000000" w:themeColor="text1"/>
          <w:spacing w:val="0"/>
          <w:sz w:val="32"/>
          <w:szCs w:val="32"/>
          <w14:textFill>
            <w14:solidFill>
              <w14:schemeClr w14:val="tx1"/>
            </w14:solidFill>
          </w14:textFill>
        </w:rPr>
        <w:t>高水平搭建智慧停车平台。</w:t>
      </w:r>
      <w:r>
        <w:rPr>
          <w:rFonts w:hint="default" w:ascii="Times New Roman" w:hAnsi="Times New Roman" w:eastAsia="仿宋_GB2312" w:cs="Times New Roman"/>
          <w:color w:val="000000" w:themeColor="text1"/>
          <w:spacing w:val="0"/>
          <w:sz w:val="32"/>
          <w:szCs w:val="32"/>
          <w14:textFill>
            <w14:solidFill>
              <w14:schemeClr w14:val="tx1"/>
            </w14:solidFill>
          </w14:textFill>
        </w:rPr>
        <w:t>以提高土地利用率为核心，立体化、智能化建设为重点，</w:t>
      </w: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实行投资主体多元化，政府、企业、个人共同参与智能停车场的开发建设</w:t>
      </w:r>
      <w:r>
        <w:rPr>
          <w:rFonts w:hint="default" w:ascii="Times New Roman" w:hAnsi="Times New Roman" w:eastAsia="仿宋_GB2312" w:cs="Times New Roman"/>
          <w:color w:val="000000" w:themeColor="text1"/>
          <w:spacing w:val="0"/>
          <w:sz w:val="32"/>
          <w:szCs w:val="32"/>
          <w14:textFill>
            <w14:solidFill>
              <w14:schemeClr w14:val="tx1"/>
            </w14:solidFill>
          </w14:textFill>
        </w:rPr>
        <w:t>。以5G技术为依托，将智慧停车“小脑”并入智慧城市“大脑”，</w:t>
      </w:r>
      <w:r>
        <w:rPr>
          <w:rFonts w:hint="default" w:ascii="Times New Roman" w:hAnsi="Times New Roman" w:eastAsia="仿宋_GB2312" w:cs="Times New Roman"/>
          <w:color w:val="000000" w:themeColor="text1"/>
          <w:spacing w:val="0"/>
          <w:sz w:val="32"/>
          <w:szCs w:val="32"/>
          <w:shd w:val="clear" w:color="auto" w:fill="FFFFFF"/>
          <w14:textFill>
            <w14:solidFill>
              <w14:schemeClr w14:val="tx1"/>
            </w14:solidFill>
          </w14:textFill>
        </w:rPr>
        <w:t>盘活现有停车资源存量，补齐基础设施和公共服务短板。通过制定合理化、差异化的停车收费指导标准和监督，让车位使用率全面提高。</w:t>
      </w:r>
    </w:p>
    <w:p>
      <w:pPr>
        <w:keepNext w:val="0"/>
        <w:keepLines w:val="0"/>
        <w:pageBreakBefore w:val="0"/>
        <w:widowControl w:val="0"/>
        <w:shd w:val="clear"/>
        <w:kinsoku/>
        <w:wordWrap/>
        <w:overflowPunct/>
        <w:topLinePunct w:val="0"/>
        <w:autoSpaceDE/>
        <w:autoSpaceDN/>
        <w:bidi w:val="0"/>
        <w:adjustRightInd/>
        <w:snapToGrid/>
        <w:spacing w:line="54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3.合作共同监管。</w:t>
      </w:r>
      <w:r>
        <w:rPr>
          <w:rFonts w:hint="default" w:ascii="Times New Roman" w:hAnsi="Times New Roman" w:eastAsia="仿宋_GB2312" w:cs="Times New Roman"/>
          <w:color w:val="000000" w:themeColor="text1"/>
          <w:spacing w:val="0"/>
          <w:sz w:val="32"/>
          <w:szCs w:val="32"/>
          <w14:textFill>
            <w14:solidFill>
              <w14:schemeClr w14:val="tx1"/>
            </w14:solidFill>
          </w14:textFill>
        </w:rPr>
        <w:t>建立健全监管协调机制，整合部门力量，提升治理效能。</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一是加大保障力度。</w:t>
      </w:r>
      <w:r>
        <w:rPr>
          <w:rFonts w:hint="default" w:ascii="Times New Roman" w:hAnsi="Times New Roman" w:eastAsia="仿宋_GB2312" w:cs="Times New Roman"/>
          <w:color w:val="000000" w:themeColor="text1"/>
          <w:spacing w:val="0"/>
          <w:sz w:val="32"/>
          <w:szCs w:val="32"/>
          <w14:textFill>
            <w14:solidFill>
              <w14:schemeClr w14:val="tx1"/>
            </w14:solidFill>
          </w14:textFill>
        </w:rPr>
        <w:t>公共设施的维护和管理必须有经费作保障，在收费项目中必须拿出一定比例资金，作为后续的维护费用，推进公共设施管护的常态化、规范化。</w:t>
      </w:r>
      <w:r>
        <w:rPr>
          <w:rFonts w:hint="default" w:ascii="Times New Roman" w:hAnsi="Times New Roman" w:eastAsia="仿宋_GB2312" w:cs="Times New Roman"/>
          <w:b/>
          <w:color w:val="000000" w:themeColor="text1"/>
          <w:spacing w:val="0"/>
          <w:sz w:val="32"/>
          <w:szCs w:val="32"/>
          <w14:textFill>
            <w14:solidFill>
              <w14:schemeClr w14:val="tx1"/>
            </w14:solidFill>
          </w14:textFill>
        </w:rPr>
        <w:t>二是强化管护手段。</w:t>
      </w:r>
      <w:r>
        <w:rPr>
          <w:rFonts w:hint="default" w:ascii="Times New Roman" w:hAnsi="Times New Roman" w:eastAsia="仿宋_GB2312" w:cs="Times New Roman"/>
          <w:color w:val="000000" w:themeColor="text1"/>
          <w:spacing w:val="0"/>
          <w:sz w:val="32"/>
          <w:szCs w:val="32"/>
          <w14:textFill>
            <w14:solidFill>
              <w14:schemeClr w14:val="tx1"/>
            </w14:solidFill>
          </w14:textFill>
        </w:rPr>
        <w:t>建立部门、社区、企业、个人联动管护机制，通过完善管护制度，将管理重心前移，强化受益人就是管护人的责任意识和监督意识，切实维护城市形象。</w:t>
      </w:r>
      <w:r>
        <w:rPr>
          <w:rFonts w:hint="default" w:ascii="Times New Roman" w:hAnsi="Times New Roman" w:eastAsia="仿宋_GB2312" w:cs="Times New Roman"/>
          <w:b/>
          <w:color w:val="000000" w:themeColor="text1"/>
          <w:spacing w:val="0"/>
          <w:sz w:val="32"/>
          <w:szCs w:val="32"/>
          <w14:textFill>
            <w14:solidFill>
              <w14:schemeClr w14:val="tx1"/>
            </w14:solidFill>
          </w14:textFill>
        </w:rPr>
        <w:t>三是建立长效机制。</w:t>
      </w:r>
      <w:r>
        <w:rPr>
          <w:rFonts w:hint="default" w:ascii="Times New Roman" w:hAnsi="Times New Roman" w:eastAsia="仿宋_GB2312" w:cs="Times New Roman"/>
          <w:color w:val="000000" w:themeColor="text1"/>
          <w:spacing w:val="0"/>
          <w:sz w:val="32"/>
          <w:szCs w:val="32"/>
          <w14:textFill>
            <w14:solidFill>
              <w14:schemeClr w14:val="tx1"/>
            </w14:solidFill>
          </w14:textFill>
        </w:rPr>
        <w:t>要把新型模式与传统模式对接起来，纳入政府监管的范围，视同市政设施一同维护、一同管理，形成群防群治的长效管理机制。</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小标宋简体" w:cs="Times New Roman"/>
          <w:color w:val="000000" w:themeColor="text1"/>
          <w:spacing w:val="0"/>
          <w:sz w:val="32"/>
          <w:szCs w:val="32"/>
          <w14:textFill>
            <w14:solidFill>
              <w14:schemeClr w14:val="tx1"/>
            </w14:solidFill>
          </w14:textFill>
        </w:rPr>
      </w:pPr>
      <w:r>
        <w:rPr>
          <w:rFonts w:hint="default" w:ascii="Times New Roman" w:hAnsi="Times New Roman" w:eastAsia="方正小标宋简体"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小标宋简体"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打好仙桃城区停车难的“地道战”</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w:t>
      </w:r>
      <w:r>
        <w:rPr>
          <w:rFonts w:hint="default" w:ascii="仿宋_GB2312" w:hAnsi="仿宋_GB2312" w:eastAsia="仿宋_GB2312" w:cs="仿宋_GB2312"/>
          <w:b/>
          <w:bCs/>
          <w:color w:val="000000" w:themeColor="text1"/>
          <w:spacing w:val="-11"/>
          <w:sz w:val="32"/>
          <w:szCs w:val="32"/>
          <w:lang w:val="en-US" w:eastAsia="zh-CN"/>
          <w14:textFill>
            <w14:solidFill>
              <w14:schemeClr w14:val="tx1"/>
            </w14:solidFill>
          </w14:textFill>
        </w:rPr>
        <w:t>关于有效利用地下停车位资源，缓解城区停车难问题的建议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 xml:space="preserve">干河委员组  </w:t>
      </w:r>
      <w:r>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郑露</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随着人民生活水平的不断提升，汽车刚性需求旺盛，汽车保有量保持迅猛增长趋势，由于供需矛盾，城</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区</w:t>
      </w:r>
      <w:r>
        <w:rPr>
          <w:rFonts w:hint="default" w:ascii="Times New Roman" w:hAnsi="Times New Roman" w:eastAsia="仿宋_GB2312" w:cs="Times New Roman"/>
          <w:color w:val="000000" w:themeColor="text1"/>
          <w:spacing w:val="0"/>
          <w:sz w:val="32"/>
          <w:szCs w:val="32"/>
          <w14:textFill>
            <w14:solidFill>
              <w14:schemeClr w14:val="tx1"/>
            </w14:solidFill>
          </w14:textFill>
        </w:rPr>
        <w:t>停车</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难</w:t>
      </w:r>
      <w:r>
        <w:rPr>
          <w:rFonts w:hint="default" w:ascii="Times New Roman" w:hAnsi="Times New Roman" w:eastAsia="仿宋_GB2312" w:cs="Times New Roman"/>
          <w:color w:val="000000" w:themeColor="text1"/>
          <w:spacing w:val="0"/>
          <w:sz w:val="32"/>
          <w:szCs w:val="32"/>
          <w14:textFill>
            <w14:solidFill>
              <w14:schemeClr w14:val="tx1"/>
            </w14:solidFill>
          </w14:textFill>
        </w:rPr>
        <w:t>问题</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日益</w:t>
      </w:r>
      <w:r>
        <w:rPr>
          <w:rFonts w:hint="default" w:ascii="Times New Roman" w:hAnsi="Times New Roman" w:eastAsia="仿宋_GB2312" w:cs="Times New Roman"/>
          <w:color w:val="000000" w:themeColor="text1"/>
          <w:spacing w:val="0"/>
          <w:sz w:val="32"/>
          <w:szCs w:val="32"/>
          <w14:textFill>
            <w14:solidFill>
              <w14:schemeClr w14:val="tx1"/>
            </w14:solidFill>
          </w14:textFill>
        </w:rPr>
        <w:t>突出</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。近年来，</w:t>
      </w:r>
      <w:r>
        <w:rPr>
          <w:rFonts w:hint="default" w:ascii="Times New Roman" w:hAnsi="Times New Roman" w:eastAsia="仿宋_GB2312" w:cs="Times New Roman"/>
          <w:color w:val="000000" w:themeColor="text1"/>
          <w:spacing w:val="0"/>
          <w:sz w:val="32"/>
          <w:szCs w:val="32"/>
          <w14:textFill>
            <w14:solidFill>
              <w14:schemeClr w14:val="tx1"/>
            </w14:solidFill>
          </w14:textFill>
        </w:rPr>
        <w:t>市委市政府采取多种措施，每年新增2000个左右公共停车位，但是公共停车位投放速度跟不上汽车购置速度</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尤其是</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中心城区老旧住宅小区、学校、商超、机关单位</w:t>
      </w:r>
      <w:r>
        <w:rPr>
          <w:rFonts w:hint="eastAsia" w:ascii="Times New Roman" w:hAnsi="Times New Roman" w:eastAsia="仿宋_GB2312" w:cs="Times New Roman"/>
          <w:color w:val="000000" w:themeColor="text1"/>
          <w:spacing w:val="0"/>
          <w:sz w:val="32"/>
          <w:szCs w:val="32"/>
          <w14:textFill>
            <w14:solidFill>
              <w14:schemeClr w14:val="tx1"/>
            </w14:solidFill>
          </w14:textFill>
        </w:rPr>
        <w:t>等</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场所周边早晚高峰</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时段</w:t>
      </w:r>
      <w:r>
        <w:rPr>
          <w:rFonts w:hint="eastAsia" w:ascii="Times New Roman" w:hAnsi="Times New Roman" w:eastAsia="仿宋_GB2312" w:cs="Times New Roman"/>
          <w:color w:val="000000" w:themeColor="text1"/>
          <w:spacing w:val="0"/>
          <w:sz w:val="32"/>
          <w:szCs w:val="32"/>
          <w14:textFill>
            <w14:solidFill>
              <w14:schemeClr w14:val="tx1"/>
            </w14:solidFill>
          </w14:textFill>
        </w:rPr>
        <w:t>，</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地面停车常</w:t>
      </w:r>
      <w:r>
        <w:rPr>
          <w:rFonts w:hint="eastAsia" w:ascii="Times New Roman" w:hAnsi="Times New Roman" w:eastAsia="仿宋_GB2312" w:cs="Times New Roman"/>
          <w:color w:val="000000" w:themeColor="text1"/>
          <w:spacing w:val="0"/>
          <w:sz w:val="32"/>
          <w:szCs w:val="32"/>
          <w14:textFill>
            <w14:solidFill>
              <w14:schemeClr w14:val="tx1"/>
            </w14:solidFill>
          </w14:textFill>
        </w:rPr>
        <w:t>“一位难求”</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，群众</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下班回家后找不到停车位，出门办事找车位时间长于办事时间是常态。</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与此同时，我市部分</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新建小区</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地下停车位未能综合利用，造成资源闲置，亟需盘活发挥作用。</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rPr>
          <w:rStyle w:val="16"/>
          <w:rFonts w:hint="default" w:ascii="Times New Roman" w:hAnsi="Times New Roman" w:eastAsia="仿宋_GB2312" w:cs="Times New Roman"/>
          <w:b w:val="0"/>
          <w:bCs/>
          <w:color w:val="000000" w:themeColor="text1"/>
          <w:spacing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以干河为例，截止2022年11月，每千人汽车拥有量达205辆，汽车保有量高达47150辆，</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辖区内</w:t>
      </w:r>
      <w:r>
        <w:rPr>
          <w:rFonts w:hint="eastAsia" w:ascii="仿宋_GB2312" w:hAnsi="仿宋_GB2312" w:eastAsia="仿宋_GB2312" w:cs="仿宋_GB2312"/>
          <w:color w:val="000000" w:themeColor="text1"/>
          <w:spacing w:val="0"/>
          <w:sz w:val="32"/>
          <w:szCs w:val="32"/>
          <w14:textFill>
            <w14:solidFill>
              <w14:schemeClr w14:val="tx1"/>
            </w14:solidFill>
          </w14:textFill>
        </w:rPr>
        <w:t>建有地下车库小区24个，地下停车位10373个。调研发现，辖区内地下停车位的整体利用率不到40%，比如风和日丽小区共建有地下停车位2400个，空置率达</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68.33%；</w:t>
      </w:r>
      <w:r>
        <w:rPr>
          <w:rFonts w:hint="eastAsia" w:ascii="仿宋_GB2312" w:hAnsi="仿宋_GB2312" w:eastAsia="仿宋_GB2312" w:cs="仿宋_GB2312"/>
          <w:color w:val="000000" w:themeColor="text1"/>
          <w:spacing w:val="0"/>
          <w:sz w:val="32"/>
          <w:szCs w:val="32"/>
          <w14:textFill>
            <w14:solidFill>
              <w14:schemeClr w14:val="tx1"/>
            </w14:solidFill>
          </w14:textFill>
        </w:rPr>
        <w:t>襄河社区锦华首府小区共建有地下停车位450个</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空置率达73.33%</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恒迪社区颐和公馆共有360个地下停车位，空置率达80%。</w:t>
      </w:r>
      <w:r>
        <w:rPr>
          <w:rFonts w:hint="eastAsia" w:ascii="仿宋_GB2312" w:hAnsi="仿宋_GB2312" w:eastAsia="仿宋_GB2312" w:cs="仿宋_GB2312"/>
          <w:b/>
          <w:bCs/>
          <w:color w:val="000000" w:themeColor="text1"/>
          <w:spacing w:val="0"/>
          <w:sz w:val="32"/>
          <w:szCs w:val="32"/>
          <w:lang w:eastAsia="zh-CN"/>
          <w14:textFill>
            <w14:solidFill>
              <w14:schemeClr w14:val="tx1"/>
            </w14:solidFill>
          </w14:textFill>
        </w:rPr>
        <w:t>一是</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行业主管部门监管缺乏力度，开发商对车位租售定价较高，超出了业主的心理预期，从而导致部分业主不愿意购买和租赁小区地下停车位，选择将车停在小区附近，未能充分利用地下停车</w:t>
      </w:r>
      <w:r>
        <w:rPr>
          <w:rStyle w:val="16"/>
          <w:rFonts w:hint="eastAsia" w:ascii="仿宋_GB2312" w:hAnsi="仿宋_GB2312" w:eastAsia="仿宋_GB2312" w:cs="仿宋_GB2312"/>
          <w:b w:val="0"/>
          <w:bCs/>
          <w:color w:val="000000" w:themeColor="text1"/>
          <w:spacing w:val="0"/>
          <w:sz w:val="32"/>
          <w:szCs w:val="32"/>
          <w:shd w:val="clear" w:color="auto" w:fill="FFFFFF"/>
          <w:lang w:val="en-US" w:eastAsia="zh-CN"/>
          <w14:textFill>
            <w14:solidFill>
              <w14:schemeClr w14:val="tx1"/>
            </w14:solidFill>
          </w14:textFill>
        </w:rPr>
        <w:t>位。</w:t>
      </w:r>
      <w:r>
        <w:rPr>
          <w:rStyle w:val="16"/>
          <w:rFonts w:hint="eastAsia" w:ascii="仿宋_GB2312" w:hAnsi="仿宋_GB2312" w:eastAsia="仿宋_GB2312" w:cs="仿宋_GB2312"/>
          <w:b/>
          <w:bCs w:val="0"/>
          <w:color w:val="000000" w:themeColor="text1"/>
          <w:spacing w:val="0"/>
          <w:sz w:val="32"/>
          <w:szCs w:val="32"/>
          <w:shd w:val="clear" w:color="auto" w:fill="FFFFFF"/>
          <w:lang w:eastAsia="zh-CN"/>
          <w14:textFill>
            <w14:solidFill>
              <w14:schemeClr w14:val="tx1"/>
            </w14:solidFill>
          </w14:textFill>
        </w:rPr>
        <w:t>二是</w:t>
      </w:r>
      <w:r>
        <w:rPr>
          <w:rStyle w:val="16"/>
          <w:rFonts w:hint="eastAsia" w:ascii="仿宋_GB2312" w:hAnsi="仿宋_GB2312" w:eastAsia="仿宋_GB2312" w:cs="仿宋_GB2312"/>
          <w:b w:val="0"/>
          <w:bCs/>
          <w:color w:val="000000" w:themeColor="text1"/>
          <w:spacing w:val="0"/>
          <w:sz w:val="32"/>
          <w:szCs w:val="32"/>
          <w:shd w:val="clear" w:color="auto" w:fill="FFFFFF"/>
          <w14:textFill>
            <w14:solidFill>
              <w14:schemeClr w14:val="tx1"/>
            </w14:solidFill>
          </w14:textFill>
        </w:rPr>
        <w:t>辖区内所有小区地下停车场均未对外开放，缺乏智能化、数字化升级改造，</w:t>
      </w:r>
      <w:r>
        <w:rPr>
          <w:rStyle w:val="16"/>
          <w:rFonts w:hint="eastAsia" w:ascii="仿宋_GB2312" w:hAnsi="仿宋_GB2312" w:eastAsia="仿宋_GB2312" w:cs="仿宋_GB2312"/>
          <w:b w:val="0"/>
          <w:bCs/>
          <w:color w:val="000000" w:themeColor="text1"/>
          <w:spacing w:val="0"/>
          <w:sz w:val="32"/>
          <w:szCs w:val="32"/>
          <w:shd w:val="clear" w:color="auto" w:fill="FFFFFF"/>
          <w:lang w:val="en-US" w:eastAsia="zh-CN"/>
          <w14:textFill>
            <w14:solidFill>
              <w14:schemeClr w14:val="tx1"/>
            </w14:solidFill>
          </w14:textFill>
        </w:rPr>
        <w:t>既没有安装LED智能引导屏，又没有上传车库空位信息到百度、高德等导航类APP，</w:t>
      </w:r>
      <w:r>
        <w:rPr>
          <w:rStyle w:val="16"/>
          <w:rFonts w:hint="eastAsia" w:ascii="仿宋_GB2312" w:hAnsi="仿宋_GB2312" w:eastAsia="仿宋_GB2312" w:cs="仿宋_GB2312"/>
          <w:b w:val="0"/>
          <w:bCs/>
          <w:color w:val="000000" w:themeColor="text1"/>
          <w:spacing w:val="0"/>
          <w:sz w:val="32"/>
          <w:szCs w:val="32"/>
          <w:shd w:val="clear" w:color="auto" w:fill="FFFFFF"/>
          <w:lang w:eastAsia="zh-CN"/>
          <w14:textFill>
            <w14:solidFill>
              <w14:schemeClr w14:val="tx1"/>
            </w14:solidFill>
          </w14:textFill>
        </w:rPr>
        <w:t>导致</w:t>
      </w:r>
      <w:r>
        <w:rPr>
          <w:rStyle w:val="16"/>
          <w:rFonts w:hint="eastAsia" w:ascii="仿宋_GB2312" w:hAnsi="仿宋_GB2312" w:eastAsia="仿宋_GB2312" w:cs="仿宋_GB2312"/>
          <w:b w:val="0"/>
          <w:bCs/>
          <w:color w:val="000000" w:themeColor="text1"/>
          <w:spacing w:val="0"/>
          <w:sz w:val="32"/>
          <w:szCs w:val="32"/>
          <w:shd w:val="clear" w:color="auto" w:fill="FFFFFF"/>
          <w:lang w:val="en-US" w:eastAsia="zh-CN"/>
          <w14:textFill>
            <w14:solidFill>
              <w14:schemeClr w14:val="tx1"/>
            </w14:solidFill>
          </w14:textFill>
        </w:rPr>
        <w:t>市民难以迅速、精准获得附近闲置车位信息，</w:t>
      </w:r>
      <w:r>
        <w:rPr>
          <w:rStyle w:val="16"/>
          <w:rFonts w:hint="eastAsia" w:ascii="仿宋_GB2312" w:hAnsi="仿宋_GB2312" w:eastAsia="仿宋_GB2312" w:cs="仿宋_GB2312"/>
          <w:b w:val="0"/>
          <w:bCs/>
          <w:color w:val="000000" w:themeColor="text1"/>
          <w:spacing w:val="0"/>
          <w:sz w:val="32"/>
          <w:szCs w:val="32"/>
          <w:shd w:val="clear" w:color="auto" w:fill="FFFFFF"/>
          <w14:textFill>
            <w14:solidFill>
              <w14:schemeClr w14:val="tx1"/>
            </w14:solidFill>
          </w14:textFill>
        </w:rPr>
        <w:t>车位资源未能得到高效利用。</w:t>
      </w:r>
      <w:r>
        <w:rPr>
          <w:rStyle w:val="16"/>
          <w:rFonts w:hint="eastAsia" w:ascii="仿宋_GB2312" w:hAnsi="仿宋_GB2312" w:eastAsia="仿宋_GB2312" w:cs="仿宋_GB2312"/>
          <w:b/>
          <w:bCs w:val="0"/>
          <w:color w:val="000000" w:themeColor="text1"/>
          <w:spacing w:val="0"/>
          <w:sz w:val="32"/>
          <w:szCs w:val="32"/>
          <w:shd w:val="clear" w:color="auto" w:fill="FFFFFF"/>
          <w14:textFill>
            <w14:solidFill>
              <w14:schemeClr w14:val="tx1"/>
            </w14:solidFill>
          </w14:textFill>
        </w:rPr>
        <w:t>三是</w:t>
      </w:r>
      <w:r>
        <w:rPr>
          <w:rStyle w:val="16"/>
          <w:rFonts w:hint="eastAsia" w:ascii="仿宋_GB2312" w:hAnsi="仿宋_GB2312" w:eastAsia="仿宋_GB2312" w:cs="仿宋_GB2312"/>
          <w:b w:val="0"/>
          <w:bCs/>
          <w:color w:val="000000" w:themeColor="text1"/>
          <w:spacing w:val="0"/>
          <w:sz w:val="32"/>
          <w:szCs w:val="32"/>
          <w:shd w:val="clear" w:color="auto" w:fill="FFFFFF"/>
          <w14:textFill>
            <w14:solidFill>
              <w14:schemeClr w14:val="tx1"/>
            </w14:solidFill>
          </w14:textFill>
        </w:rPr>
        <w:t>少数业主在小区内部还有空置车位的情况下，习惯将车停在小区外面的公共停车位，导致小区内部车位不能得到合理利用。</w:t>
      </w:r>
      <w:r>
        <w:rPr>
          <w:rStyle w:val="16"/>
          <w:rFonts w:hint="eastAsia" w:ascii="仿宋_GB2312" w:hAnsi="仿宋_GB2312" w:eastAsia="仿宋_GB2312" w:cs="仿宋_GB2312"/>
          <w:b w:val="0"/>
          <w:bCs/>
          <w:color w:val="000000" w:themeColor="text1"/>
          <w:spacing w:val="0"/>
          <w:sz w:val="32"/>
          <w:szCs w:val="32"/>
          <w:shd w:val="clear" w:color="auto" w:fill="FFFFFF"/>
          <w:lang w:eastAsia="zh-CN"/>
          <w14:textFill>
            <w14:solidFill>
              <w14:schemeClr w14:val="tx1"/>
            </w14:solidFill>
          </w14:textFill>
        </w:rPr>
        <w:t>当前</w:t>
      </w:r>
      <w:r>
        <w:rPr>
          <w:rStyle w:val="16"/>
          <w:rFonts w:hint="eastAsia" w:ascii="仿宋_GB2312" w:hAnsi="仿宋_GB2312" w:eastAsia="仿宋_GB2312" w:cs="仿宋_GB2312"/>
          <w:b w:val="0"/>
          <w:bCs/>
          <w:color w:val="000000" w:themeColor="text1"/>
          <w:spacing w:val="0"/>
          <w:sz w:val="32"/>
          <w:szCs w:val="32"/>
          <w:shd w:val="clear" w:color="auto" w:fill="FFFFFF"/>
          <w:lang w:val="en-US" w:eastAsia="zh-CN"/>
          <w14:textFill>
            <w14:solidFill>
              <w14:schemeClr w14:val="tx1"/>
            </w14:solidFill>
          </w14:textFill>
        </w:rPr>
        <w:t>在有限的城市规划土地内建设公共停车位只是解决停车难的一种办法，更需要创新思路、多措并举、整合资源，从根本上使停车难得到解决，</w:t>
      </w:r>
      <w:r>
        <w:rPr>
          <w:rStyle w:val="16"/>
          <w:rFonts w:hint="eastAsia" w:ascii="仿宋_GB2312" w:hAnsi="仿宋_GB2312" w:eastAsia="仿宋_GB2312" w:cs="仿宋_GB2312"/>
          <w:b w:val="0"/>
          <w:bCs/>
          <w:color w:val="000000" w:themeColor="text1"/>
          <w:spacing w:val="0"/>
          <w:sz w:val="32"/>
          <w:szCs w:val="32"/>
          <w:shd w:val="clear" w:color="auto" w:fill="FFFFFF"/>
          <w14:textFill>
            <w14:solidFill>
              <w14:schemeClr w14:val="tx1"/>
            </w14:solidFill>
          </w14:textFill>
        </w:rPr>
        <w:t>如果合理利用这部分</w:t>
      </w:r>
      <w:r>
        <w:rPr>
          <w:rStyle w:val="16"/>
          <w:rFonts w:hint="eastAsia" w:ascii="仿宋_GB2312" w:hAnsi="仿宋_GB2312" w:eastAsia="仿宋_GB2312" w:cs="仿宋_GB2312"/>
          <w:b w:val="0"/>
          <w:bCs/>
          <w:color w:val="000000" w:themeColor="text1"/>
          <w:spacing w:val="0"/>
          <w:sz w:val="32"/>
          <w:szCs w:val="32"/>
          <w:shd w:val="clear" w:color="auto" w:fill="FFFFFF"/>
          <w:lang w:eastAsia="zh-CN"/>
          <w14:textFill>
            <w14:solidFill>
              <w14:schemeClr w14:val="tx1"/>
            </w14:solidFill>
          </w14:textFill>
        </w:rPr>
        <w:t>小区</w:t>
      </w:r>
      <w:r>
        <w:rPr>
          <w:rStyle w:val="16"/>
          <w:rFonts w:hint="eastAsia" w:ascii="仿宋_GB2312" w:hAnsi="仿宋_GB2312" w:eastAsia="仿宋_GB2312" w:cs="仿宋_GB2312"/>
          <w:b w:val="0"/>
          <w:bCs/>
          <w:color w:val="000000" w:themeColor="text1"/>
          <w:spacing w:val="0"/>
          <w:sz w:val="32"/>
          <w:szCs w:val="32"/>
          <w:shd w:val="clear" w:color="auto" w:fill="FFFFFF"/>
          <w14:textFill>
            <w14:solidFill>
              <w14:schemeClr w14:val="tx1"/>
            </w14:solidFill>
          </w14:textFill>
        </w:rPr>
        <w:t>停车位，可极大缓解停车难问题，因此我们亟需打好</w:t>
      </w:r>
      <w:r>
        <w:rPr>
          <w:rStyle w:val="16"/>
          <w:rFonts w:hint="eastAsia" w:ascii="仿宋_GB2312" w:hAnsi="仿宋_GB2312" w:eastAsia="仿宋_GB2312" w:cs="仿宋_GB2312"/>
          <w:b w:val="0"/>
          <w:bCs/>
          <w:color w:val="000000" w:themeColor="text1"/>
          <w:spacing w:val="0"/>
          <w:sz w:val="32"/>
          <w:szCs w:val="32"/>
          <w:shd w:val="clear" w:color="auto" w:fill="FFFFFF"/>
          <w:lang w:eastAsia="zh-CN"/>
          <w14:textFill>
            <w14:solidFill>
              <w14:schemeClr w14:val="tx1"/>
            </w14:solidFill>
          </w14:textFill>
        </w:rPr>
        <w:t>这场“</w:t>
      </w:r>
      <w:r>
        <w:rPr>
          <w:rStyle w:val="16"/>
          <w:rFonts w:hint="eastAsia" w:ascii="仿宋_GB2312" w:hAnsi="仿宋_GB2312" w:eastAsia="仿宋_GB2312" w:cs="仿宋_GB2312"/>
          <w:b w:val="0"/>
          <w:bCs/>
          <w:color w:val="000000" w:themeColor="text1"/>
          <w:spacing w:val="0"/>
          <w:sz w:val="32"/>
          <w:szCs w:val="32"/>
          <w:shd w:val="clear" w:color="auto" w:fill="FFFFFF"/>
          <w14:textFill>
            <w14:solidFill>
              <w14:schemeClr w14:val="tx1"/>
            </w14:solidFill>
          </w14:textFill>
        </w:rPr>
        <w:t>地道战</w:t>
      </w:r>
      <w:r>
        <w:rPr>
          <w:rStyle w:val="16"/>
          <w:rFonts w:hint="eastAsia" w:ascii="仿宋_GB2312" w:hAnsi="仿宋_GB2312" w:eastAsia="仿宋_GB2312" w:cs="仿宋_GB2312"/>
          <w:b w:val="0"/>
          <w:bCs/>
          <w:color w:val="000000" w:themeColor="text1"/>
          <w:spacing w:val="0"/>
          <w:sz w:val="32"/>
          <w:szCs w:val="32"/>
          <w:shd w:val="clear" w:color="auto" w:fill="FFFFFF"/>
          <w:lang w:eastAsia="zh-CN"/>
          <w14:textFill>
            <w14:solidFill>
              <w14:schemeClr w14:val="tx1"/>
            </w14:solidFill>
          </w14:textFill>
        </w:rPr>
        <w:t>”。</w:t>
      </w:r>
      <w:r>
        <w:rPr>
          <w:rStyle w:val="16"/>
          <w:rFonts w:hint="eastAsia" w:ascii="仿宋_GB2312" w:hAnsi="仿宋_GB2312" w:eastAsia="仿宋_GB2312" w:cs="仿宋_GB2312"/>
          <w:b w:val="0"/>
          <w:bCs/>
          <w:color w:val="000000" w:themeColor="text1"/>
          <w:spacing w:val="0"/>
          <w:sz w:val="32"/>
          <w:szCs w:val="32"/>
          <w:shd w:val="clear" w:color="auto" w:fill="FFFFFF"/>
          <w14:textFill>
            <w14:solidFill>
              <w14:schemeClr w14:val="tx1"/>
            </w14:solidFill>
          </w14:textFill>
        </w:rPr>
        <w:t>为此，我建议</w:t>
      </w:r>
      <w:r>
        <w:rPr>
          <w:rStyle w:val="16"/>
          <w:rFonts w:hint="default" w:ascii="Times New Roman" w:hAnsi="Times New Roman" w:eastAsia="仿宋_GB2312" w:cs="Times New Roman"/>
          <w:b w:val="0"/>
          <w:bCs/>
          <w:color w:val="000000" w:themeColor="text1"/>
          <w:spacing w:val="0"/>
          <w:sz w:val="32"/>
          <w:szCs w:val="32"/>
          <w:shd w:val="clear" w:color="auto" w:fill="FFFFFF"/>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1.统筹使用，实现信息透明。</w:t>
      </w:r>
      <w:r>
        <w:rPr>
          <w:rFonts w:hint="default" w:ascii="Times New Roman" w:hAnsi="Times New Roman" w:eastAsia="仿宋_GB2312" w:cs="Times New Roman"/>
          <w:color w:val="000000" w:themeColor="text1"/>
          <w:spacing w:val="0"/>
          <w:sz w:val="32"/>
          <w:szCs w:val="32"/>
          <w14:textFill>
            <w14:solidFill>
              <w14:schemeClr w14:val="tx1"/>
            </w14:solidFill>
          </w14:textFill>
        </w:rPr>
        <w:t>摸清各小区现有配建的地下停车位和地上车位的数量、车位空置率以及目前运行的租售政策并建立台账。实地勘测各小区距周边商圈距离、交通便利程度。摸清各商圈目前现有车位数量，工作日及节假日车位利用情况，现行的收费标准。利用商圈微信公众号、问卷调查等渠道探知消费者对车位扩容的需求量。协调整合闲置地下车位资源，向社会开放，提高利用率。</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2.数字赋能，强化智慧管理。</w:t>
      </w:r>
      <w:r>
        <w:rPr>
          <w:rFonts w:hint="eastAsia" w:ascii="仿宋_GB2312" w:hAnsi="仿宋_GB2312" w:eastAsia="仿宋_GB2312" w:cs="仿宋_GB2312"/>
          <w:color w:val="000000" w:themeColor="text1"/>
          <w:spacing w:val="0"/>
          <w:sz w:val="32"/>
          <w:szCs w:val="32"/>
          <w14:textFill>
            <w14:solidFill>
              <w14:schemeClr w14:val="tx1"/>
            </w14:solidFill>
          </w14:textFill>
        </w:rPr>
        <w:t>推进商圈</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小区15分钟生活圈内停车位智慧联动建设。鼓励、引导开发商将现有车位采取“售、租、临停”三种方式，分时分段收费、错峰共享闲置停车位。在商圈周边统筹设置LED智能引导屏，展示附近有开放车位小区的距离、剩余车位数量；并将智慧联动方案植入高德地图、百度地图等市民常用导航APP内，为出行者提供停车场的具体位置、当前车位实时数据等信息，实现停车场点预先提示、引导，指引驾驶员规范停车。</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3.多措并举，激发各方活力。</w:t>
      </w:r>
      <w:r>
        <w:rPr>
          <w:rFonts w:hint="eastAsia" w:ascii="仿宋_GB2312" w:hAnsi="仿宋_GB2312" w:eastAsia="仿宋_GB2312" w:cs="仿宋_GB2312"/>
          <w:color w:val="000000" w:themeColor="text1"/>
          <w:spacing w:val="0"/>
          <w:sz w:val="32"/>
          <w:szCs w:val="32"/>
          <w14:textFill>
            <w14:solidFill>
              <w14:schemeClr w14:val="tx1"/>
            </w14:solidFill>
          </w14:textFill>
        </w:rPr>
        <w:t>按照“共同缔造”理念，组织物业、开发商、小区业主代表多方共同探讨，并邀请各职能部门，搭建地下停车位智慧管理平台，纳入城市大脑项目，按照“统分结合”的工作方法，各司其职、各负其责，协同推进智慧停车项目建设，研究地下停车位销售方案和租赁管理方案、健全小区机动车停放服务收费方案。将开放停车位所得收益纳入小区业主维修基金、物业管理人员工资，停车场日常养护等方面。将地下停车位利用率作为对物业服务企业日常工作考核的重要指标，纳入“红色物业”年度考核。多方联动，共同推动提高地下停车位使用率，确保好事办好。</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小标宋简体" w:cs="Times New Roman"/>
          <w:color w:val="000000" w:themeColor="text1"/>
          <w:spacing w:val="0"/>
          <w:sz w:val="32"/>
          <w:szCs w:val="32"/>
          <w14:textFill>
            <w14:solidFill>
              <w14:schemeClr w14:val="tx1"/>
            </w14:solidFill>
          </w14:textFill>
        </w:rPr>
      </w:pPr>
      <w:r>
        <w:rPr>
          <w:rFonts w:hint="default" w:ascii="Times New Roman" w:hAnsi="Times New Roman" w:eastAsia="方正小标宋简体"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小标宋简体"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从仙桃人去武汉就医现象</w:t>
      </w:r>
      <w:r>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w:t>
      </w: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看如何提升</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城市医疗“软实力”</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w:t>
      </w:r>
      <w:r>
        <w:rPr>
          <w:rFonts w:hint="default" w:ascii="仿宋_GB2312" w:hAnsi="仿宋_GB2312" w:eastAsia="仿宋_GB2312" w:cs="仿宋_GB2312"/>
          <w:b/>
          <w:bCs/>
          <w:color w:val="000000" w:themeColor="text1"/>
          <w:spacing w:val="-17"/>
          <w:sz w:val="32"/>
          <w:szCs w:val="32"/>
          <w:lang w:val="en-US" w:eastAsia="zh-CN"/>
          <w14:textFill>
            <w14:solidFill>
              <w14:schemeClr w14:val="tx1"/>
            </w14:solidFill>
          </w14:textFill>
        </w:rPr>
        <w:t>关于加快引进高层次人才提高三甲医院医疗服务水平的建议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医药卫生委员组  肖兵</w:t>
      </w:r>
    </w:p>
    <w:p>
      <w:pPr>
        <w:keepNext w:val="0"/>
        <w:keepLines w:val="0"/>
        <w:pageBreakBefore w:val="0"/>
        <w:widowControl w:val="0"/>
        <w:shd w:val="clear"/>
        <w:kinsoku/>
        <w:wordWrap/>
        <w:overflowPunct/>
        <w:topLinePunct w:val="0"/>
        <w:autoSpaceDE/>
        <w:autoSpaceDN/>
        <w:bidi w:val="0"/>
        <w:adjustRightInd/>
        <w:snapToGrid/>
        <w:spacing w:before="0" w:after="0"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在市委市政府和上级主管部门的高度重视和大力支持下，我市医疗卫生事业的发展取得了长足的进步，实现了市第一人民医院、市中医医院、市妇幼保健院整体搬迁，其中市第一人民医院、市中医医院成功创建成为三甲医院</w:t>
      </w:r>
      <w:r>
        <w:rPr>
          <w:rFonts w:hint="eastAsia" w:eastAsia="仿宋_GB2312" w:cs="Times New Roman"/>
          <w:color w:val="000000" w:themeColor="text1"/>
          <w:spacing w:val="0"/>
          <w:sz w:val="32"/>
          <w:szCs w:val="32"/>
          <w:lang w:eastAsia="zh-CN"/>
          <w14:textFill>
            <w14:solidFill>
              <w14:schemeClr w14:val="tx1"/>
            </w14:solidFill>
          </w14:textFill>
        </w:rPr>
        <w:t>。特别是</w:t>
      </w:r>
      <w:r>
        <w:rPr>
          <w:rFonts w:hint="default" w:ascii="Times New Roman" w:hAnsi="Times New Roman" w:eastAsia="仿宋_GB2312" w:cs="Times New Roman"/>
          <w:color w:val="000000" w:themeColor="text1"/>
          <w:spacing w:val="0"/>
          <w:sz w:val="32"/>
          <w:szCs w:val="32"/>
          <w14:textFill>
            <w14:solidFill>
              <w14:schemeClr w14:val="tx1"/>
            </w14:solidFill>
          </w14:textFill>
        </w:rPr>
        <w:t>一大批响誉江汉平原</w:t>
      </w:r>
      <w:r>
        <w:rPr>
          <w:rFonts w:hint="eastAsia" w:eastAsia="仿宋_GB2312" w:cs="Times New Roman"/>
          <w:color w:val="000000" w:themeColor="text1"/>
          <w:spacing w:val="0"/>
          <w:sz w:val="32"/>
          <w:szCs w:val="32"/>
          <w:lang w:eastAsia="zh-CN"/>
          <w14:textFill>
            <w14:solidFill>
              <w14:schemeClr w14:val="tx1"/>
            </w14:solidFill>
          </w14:textFill>
        </w:rPr>
        <w:t>的</w:t>
      </w:r>
      <w:r>
        <w:rPr>
          <w:rFonts w:hint="default" w:ascii="Times New Roman" w:hAnsi="Times New Roman" w:eastAsia="仿宋_GB2312" w:cs="Times New Roman"/>
          <w:color w:val="000000" w:themeColor="text1"/>
          <w:spacing w:val="0"/>
          <w:sz w:val="32"/>
          <w:szCs w:val="32"/>
          <w14:textFill>
            <w14:solidFill>
              <w14:schemeClr w14:val="tx1"/>
            </w14:solidFill>
          </w14:textFill>
        </w:rPr>
        <w:t>名科名医</w:t>
      </w:r>
      <w:r>
        <w:rPr>
          <w:rFonts w:hint="eastAsia" w:eastAsia="仿宋_GB2312" w:cs="Times New Roman"/>
          <w:color w:val="000000" w:themeColor="text1"/>
          <w:spacing w:val="0"/>
          <w:sz w:val="32"/>
          <w:szCs w:val="32"/>
          <w:lang w:eastAsia="zh-CN"/>
          <w14:textFill>
            <w14:solidFill>
              <w14:schemeClr w14:val="tx1"/>
            </w14:solidFill>
          </w14:textFill>
        </w:rPr>
        <w:t>更是注入勃勃生机</w:t>
      </w:r>
      <w:r>
        <w:rPr>
          <w:rFonts w:hint="default" w:ascii="Times New Roman" w:hAnsi="Times New Roman" w:eastAsia="仿宋_GB2312" w:cs="Times New Roman"/>
          <w:color w:val="000000" w:themeColor="text1"/>
          <w:spacing w:val="0"/>
          <w:sz w:val="32"/>
          <w:szCs w:val="32"/>
          <w14:textFill>
            <w14:solidFill>
              <w14:schemeClr w14:val="tx1"/>
            </w14:solidFill>
          </w14:textFill>
        </w:rPr>
        <w:t>，如市第一人民医院原普外科主任孙延硕、原普内科主任蔡明金、儿科原主任易桃源、骨科名誉主任余勤武、妇产科原主任吴华，呼吸内科主任杜杰、肝胆外科主任曾长江，市中医医院风湿科主任程铁兵、中医脾胃科医生曾碧涛、脊椎疼痛科主任卢元烈等。</w:t>
      </w:r>
      <w:r>
        <w:rPr>
          <w:rFonts w:hint="eastAsia" w:eastAsia="仿宋_GB2312" w:cs="Times New Roman"/>
          <w:color w:val="000000" w:themeColor="text1"/>
          <w:spacing w:val="0"/>
          <w:sz w:val="32"/>
          <w:szCs w:val="32"/>
          <w:lang w:eastAsia="zh-CN"/>
          <w14:textFill>
            <w14:solidFill>
              <w14:schemeClr w14:val="tx1"/>
            </w14:solidFill>
          </w14:textFill>
        </w:rPr>
        <w:t>但是近年来，在我市</w:t>
      </w:r>
      <w:r>
        <w:rPr>
          <w:rFonts w:hint="default" w:ascii="Times New Roman" w:hAnsi="Times New Roman" w:eastAsia="仿宋_GB2312" w:cs="Times New Roman"/>
          <w:color w:val="000000" w:themeColor="text1"/>
          <w:spacing w:val="0"/>
          <w:sz w:val="32"/>
          <w:szCs w:val="32"/>
          <w14:textFill>
            <w14:solidFill>
              <w14:schemeClr w14:val="tx1"/>
            </w14:solidFill>
          </w14:textFill>
        </w:rPr>
        <w:t>医疗</w:t>
      </w:r>
      <w:r>
        <w:rPr>
          <w:rFonts w:hint="eastAsia" w:eastAsia="仿宋_GB2312" w:cs="Times New Roman"/>
          <w:color w:val="000000" w:themeColor="text1"/>
          <w:spacing w:val="0"/>
          <w:sz w:val="32"/>
          <w:szCs w:val="32"/>
          <w:lang w:eastAsia="zh-CN"/>
          <w14:textFill>
            <w14:solidFill>
              <w14:schemeClr w14:val="tx1"/>
            </w14:solidFill>
          </w14:textFill>
        </w:rPr>
        <w:t>机构</w:t>
      </w:r>
      <w:r>
        <w:rPr>
          <w:rFonts w:hint="default" w:ascii="Times New Roman" w:hAnsi="Times New Roman" w:eastAsia="仿宋_GB2312" w:cs="Times New Roman"/>
          <w:color w:val="000000" w:themeColor="text1"/>
          <w:spacing w:val="0"/>
          <w:sz w:val="32"/>
          <w:szCs w:val="32"/>
          <w14:textFill>
            <w14:solidFill>
              <w14:schemeClr w14:val="tx1"/>
            </w14:solidFill>
          </w14:textFill>
        </w:rPr>
        <w:t>硬件设施</w:t>
      </w:r>
      <w:r>
        <w:rPr>
          <w:rFonts w:hint="eastAsia" w:eastAsia="仿宋_GB2312" w:cs="Times New Roman"/>
          <w:color w:val="000000" w:themeColor="text1"/>
          <w:spacing w:val="0"/>
          <w:sz w:val="32"/>
          <w:szCs w:val="32"/>
          <w:lang w:eastAsia="zh-CN"/>
          <w14:textFill>
            <w14:solidFill>
              <w14:schemeClr w14:val="tx1"/>
            </w14:solidFill>
          </w14:textFill>
        </w:rPr>
        <w:t>和环境不断提高的同时</w:t>
      </w:r>
      <w:r>
        <w:rPr>
          <w:rFonts w:hint="default" w:ascii="Times New Roman" w:hAnsi="Times New Roman" w:eastAsia="仿宋_GB2312" w:cs="Times New Roman"/>
          <w:color w:val="000000" w:themeColor="text1"/>
          <w:spacing w:val="0"/>
          <w:sz w:val="32"/>
          <w:szCs w:val="32"/>
          <w14:textFill>
            <w14:solidFill>
              <w14:schemeClr w14:val="tx1"/>
            </w14:solidFill>
          </w14:textFill>
        </w:rPr>
        <w:t>，</w:t>
      </w:r>
      <w:r>
        <w:rPr>
          <w:rFonts w:hint="eastAsia" w:eastAsia="仿宋_GB2312" w:cs="Times New Roman"/>
          <w:color w:val="000000" w:themeColor="text1"/>
          <w:spacing w:val="0"/>
          <w:sz w:val="32"/>
          <w:szCs w:val="32"/>
          <w:lang w:eastAsia="zh-CN"/>
          <w14:textFill>
            <w14:solidFill>
              <w14:schemeClr w14:val="tx1"/>
            </w14:solidFill>
          </w14:textFill>
        </w:rPr>
        <w:t>有一个不容忽视的现象就是群众就医趋向到武汉去，除了武仙同城化发展和信息畅通为广大群众提供更多选择和更优质医疗资源外，我市</w:t>
      </w:r>
      <w:r>
        <w:rPr>
          <w:rFonts w:hint="default" w:ascii="Times New Roman" w:hAnsi="Times New Roman" w:eastAsia="仿宋_GB2312" w:cs="Times New Roman"/>
          <w:color w:val="000000" w:themeColor="text1"/>
          <w:spacing w:val="0"/>
          <w:sz w:val="32"/>
          <w:szCs w:val="32"/>
          <w14:textFill>
            <w14:solidFill>
              <w14:schemeClr w14:val="tx1"/>
            </w14:solidFill>
          </w14:textFill>
        </w:rPr>
        <w:t>医疗软实力提升不明显，与仙桃市全国百强、湖北首强的地位不相匹配</w:t>
      </w:r>
      <w:r>
        <w:rPr>
          <w:rFonts w:hint="eastAsia" w:eastAsia="仿宋_GB2312" w:cs="Times New Roman"/>
          <w:color w:val="000000" w:themeColor="text1"/>
          <w:spacing w:val="0"/>
          <w:sz w:val="32"/>
          <w:szCs w:val="32"/>
          <w:lang w:eastAsia="zh-CN"/>
          <w14:textFill>
            <w14:solidFill>
              <w14:schemeClr w14:val="tx1"/>
            </w14:solidFill>
          </w14:textFill>
        </w:rPr>
        <w:t>是一个重要的原因。</w:t>
      </w:r>
      <w:r>
        <w:rPr>
          <w:rFonts w:hint="default" w:ascii="Times New Roman" w:hAnsi="Times New Roman" w:eastAsia="仿宋_GB2312" w:cs="Times New Roman"/>
          <w:color w:val="000000" w:themeColor="text1"/>
          <w:spacing w:val="0"/>
          <w:sz w:val="32"/>
          <w:szCs w:val="32"/>
          <w14:textFill>
            <w14:solidFill>
              <w14:schemeClr w14:val="tx1"/>
            </w14:solidFill>
          </w14:textFill>
        </w:rPr>
        <w:t>优秀人才短缺成为制约医院</w:t>
      </w:r>
      <w:r>
        <w:rPr>
          <w:rFonts w:hint="eastAsia" w:eastAsia="仿宋_GB2312" w:cs="Times New Roman"/>
          <w:color w:val="000000" w:themeColor="text1"/>
          <w:spacing w:val="0"/>
          <w:sz w:val="32"/>
          <w:szCs w:val="32"/>
          <w:lang w:eastAsia="zh-CN"/>
          <w14:textFill>
            <w14:solidFill>
              <w14:schemeClr w14:val="tx1"/>
            </w14:solidFill>
          </w14:textFill>
        </w:rPr>
        <w:t>医疗服务水平提高</w:t>
      </w:r>
      <w:r>
        <w:rPr>
          <w:rFonts w:hint="default" w:ascii="Times New Roman" w:hAnsi="Times New Roman" w:eastAsia="仿宋_GB2312" w:cs="Times New Roman"/>
          <w:color w:val="000000" w:themeColor="text1"/>
          <w:spacing w:val="0"/>
          <w:sz w:val="32"/>
          <w:szCs w:val="32"/>
          <w14:textFill>
            <w14:solidFill>
              <w14:schemeClr w14:val="tx1"/>
            </w14:solidFill>
          </w14:textFill>
        </w:rPr>
        <w:t>的最大瓶颈。主要表现在：</w:t>
      </w:r>
    </w:p>
    <w:p>
      <w:pPr>
        <w:keepNext w:val="0"/>
        <w:keepLines w:val="0"/>
        <w:pageBreakBefore w:val="0"/>
        <w:widowControl w:val="0"/>
        <w:shd w:val="clear"/>
        <w:tabs>
          <w:tab w:val="left" w:pos="0"/>
        </w:tabs>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1.医疗人才结构不均衡。</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以</w:t>
      </w:r>
      <w:r>
        <w:rPr>
          <w:rFonts w:hint="eastAsia" w:ascii="仿宋_GB2312" w:hAnsi="仿宋_GB2312" w:eastAsia="仿宋_GB2312" w:cs="仿宋_GB2312"/>
          <w:color w:val="000000" w:themeColor="text1"/>
          <w:spacing w:val="0"/>
          <w:sz w:val="32"/>
          <w:szCs w:val="32"/>
          <w14:textFill>
            <w14:solidFill>
              <w14:schemeClr w14:val="tx1"/>
            </w14:solidFill>
          </w14:textFill>
        </w:rPr>
        <w:t>市第一人民医院</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为例，全院</w:t>
      </w:r>
      <w:r>
        <w:rPr>
          <w:rFonts w:hint="eastAsia" w:ascii="仿宋_GB2312" w:hAnsi="仿宋_GB2312" w:eastAsia="仿宋_GB2312" w:cs="仿宋_GB2312"/>
          <w:color w:val="000000" w:themeColor="text1"/>
          <w:spacing w:val="0"/>
          <w:sz w:val="32"/>
          <w:szCs w:val="32"/>
          <w14:textFill>
            <w14:solidFill>
              <w14:schemeClr w14:val="tx1"/>
            </w14:solidFill>
          </w14:textFill>
        </w:rPr>
        <w:t>硕士研究生学历只有114人，占医院在岗总人数的5.9%。受编制、计划等因素的制约，引进博士研究生计划难以落实。加上省级和各地市州医院因用人政策活、制度新</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渠道多，截留了许多优秀人才，导致县级市医疗人才结构发展普遍不均衡。</w:t>
      </w:r>
    </w:p>
    <w:p>
      <w:pPr>
        <w:keepNext w:val="0"/>
        <w:keepLines w:val="0"/>
        <w:pageBreakBefore w:val="0"/>
        <w:widowControl w:val="0"/>
        <w:numPr>
          <w:ilvl w:val="0"/>
          <w:numId w:val="0"/>
        </w:numPr>
        <w:shd w:val="clear"/>
        <w:tabs>
          <w:tab w:val="left" w:pos="0"/>
        </w:tabs>
        <w:kinsoku/>
        <w:wordWrap/>
        <w:overflowPunct/>
        <w:topLinePunct w:val="0"/>
        <w:autoSpaceDE/>
        <w:autoSpaceDN/>
        <w:bidi w:val="0"/>
        <w:adjustRightInd/>
        <w:snapToGrid w:val="0"/>
        <w:spacing w:after="0" w:line="560" w:lineRule="exact"/>
        <w:ind w:left="0" w:leftChars="0" w:right="0" w:rightChars="0" w:firstLine="640"/>
        <w:jc w:val="both"/>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2.高层次人才严重短缺。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高层次人才梯队建设对医院的进步与可持续发展至关重要，而高层次人才培养是梯队建设的助推力。受申报国贴、省突、省贴、省青年拔尖人才等项目审批制约等因素，优秀人才“往上走、往高走”的趋势明显，导致一些高学历、高职称、年富力强的专业技术人才跳槽到省级、地级市医院工作。</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3.科研教学创新动能不足。</w:t>
      </w:r>
      <w:r>
        <w:rPr>
          <w:rFonts w:hint="eastAsia" w:ascii="仿宋_GB2312" w:hAnsi="仿宋_GB2312" w:eastAsia="仿宋_GB2312" w:cs="仿宋_GB2312"/>
          <w:color w:val="000000" w:themeColor="text1"/>
          <w:spacing w:val="0"/>
          <w:sz w:val="32"/>
          <w:szCs w:val="32"/>
          <w14:textFill>
            <w14:solidFill>
              <w14:schemeClr w14:val="tx1"/>
            </w14:solidFill>
          </w14:textFill>
        </w:rPr>
        <w:t>“科学技术是第一生产力”，目前，</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市第一人民医院、市中医医院</w:t>
      </w:r>
      <w:r>
        <w:rPr>
          <w:rFonts w:hint="eastAsia" w:ascii="仿宋_GB2312" w:hAnsi="仿宋_GB2312" w:eastAsia="仿宋_GB2312" w:cs="仿宋_GB2312"/>
          <w:color w:val="000000" w:themeColor="text1"/>
          <w:spacing w:val="0"/>
          <w:sz w:val="32"/>
          <w:szCs w:val="32"/>
          <w14:textFill>
            <w14:solidFill>
              <w14:schemeClr w14:val="tx1"/>
            </w14:solidFill>
          </w14:textFill>
        </w:rPr>
        <w:t>尚未建成自己的科研教学基地，人才培养、科研和教学缺乏必要的条件，创新驱动能力不足成为制约医院发展的主要因素，医院可持续发展后劲乏力。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4.人才配套政策保障不够。</w:t>
      </w:r>
      <w:r>
        <w:rPr>
          <w:rFonts w:hint="default" w:ascii="Times New Roman" w:hAnsi="Times New Roman" w:eastAsia="仿宋_GB2312" w:cs="Times New Roman"/>
          <w:color w:val="000000" w:themeColor="text1"/>
          <w:spacing w:val="0"/>
          <w:sz w:val="32"/>
          <w:szCs w:val="32"/>
          <w14:textFill>
            <w14:solidFill>
              <w14:schemeClr w14:val="tx1"/>
            </w14:solidFill>
          </w14:textFill>
        </w:rPr>
        <w:t>近几年通过招聘引进的硕士研究生、卫生专业本科生大部分在仙桃市没有住房，在外自行租住，平时上下班及居家生活都非常不便。由于在住房、子女入学、配偶调动等方面没有相应的激励保障政策，故也很难吸引和留住优秀人才。</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pPr>
      <w:r>
        <w:rPr>
          <w:rFonts w:hint="eastAsia" w:eastAsia="仿宋_GB2312" w:cs="Times New Roman"/>
          <w:color w:val="000000" w:themeColor="text1"/>
          <w:spacing w:val="0"/>
          <w:sz w:val="32"/>
          <w:szCs w:val="32"/>
          <w:lang w:eastAsia="zh-CN"/>
          <w14:textFill>
            <w14:solidFill>
              <w14:schemeClr w14:val="tx1"/>
            </w14:solidFill>
          </w14:textFill>
        </w:rPr>
        <w:t>因此，我们建议：</w:t>
      </w:r>
    </w:p>
    <w:p>
      <w:pPr>
        <w:keepNext w:val="0"/>
        <w:keepLines w:val="0"/>
        <w:pageBreakBefore w:val="0"/>
        <w:widowControl w:val="0"/>
        <w:numPr>
          <w:ilvl w:val="0"/>
          <w:numId w:val="0"/>
        </w:numPr>
        <w:shd w:val="clear"/>
        <w:tabs>
          <w:tab w:val="left" w:pos="767"/>
        </w:tabs>
        <w:kinsoku/>
        <w:wordWrap/>
        <w:overflowPunct/>
        <w:topLinePunct w:val="0"/>
        <w:autoSpaceDE/>
        <w:autoSpaceDN/>
        <w:bidi w:val="0"/>
        <w:adjustRightInd/>
        <w:snapToGrid w:val="0"/>
        <w:spacing w:after="0" w:line="560" w:lineRule="exact"/>
        <w:ind w:firstLine="640" w:firstLineChars="200"/>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1.深化编制及人事制度改革，稳步推进医疗卫生事业可持续性发展。</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目前，我市三甲医院</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编制人数</w:t>
      </w:r>
      <w:r>
        <w:rPr>
          <w:rFonts w:hint="eastAsia" w:ascii="仿宋_GB2312" w:hAnsi="仿宋_GB2312" w:eastAsia="仿宋_GB2312" w:cs="仿宋_GB2312"/>
          <w:b w:val="0"/>
          <w:bCs w:val="0"/>
          <w:color w:val="000000" w:themeColor="text1"/>
          <w:sz w:val="32"/>
          <w:szCs w:val="32"/>
          <w14:textFill>
            <w14:solidFill>
              <w14:schemeClr w14:val="tx1"/>
            </w14:solidFill>
          </w14:textFill>
        </w:rPr>
        <w:t>远远低于国家卫健委规定的配置标准，人员</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总量</w:t>
      </w:r>
      <w:r>
        <w:rPr>
          <w:rFonts w:hint="eastAsia" w:ascii="仿宋_GB2312" w:hAnsi="仿宋_GB2312" w:eastAsia="仿宋_GB2312" w:cs="仿宋_GB2312"/>
          <w:b w:val="0"/>
          <w:bCs w:val="0"/>
          <w:color w:val="000000" w:themeColor="text1"/>
          <w:sz w:val="32"/>
          <w:szCs w:val="32"/>
          <w14:textFill>
            <w14:solidFill>
              <w14:schemeClr w14:val="tx1"/>
            </w14:solidFill>
          </w14:textFill>
        </w:rPr>
        <w:t>严重不足</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亟待重新核定编制总数。建议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在不降低用人条件和标准的情况下，拿出空岗实施定向或扩大专业范围进行公开招聘，</w:t>
      </w:r>
      <w:r>
        <w:rPr>
          <w:rFonts w:hint="eastAsia" w:ascii="仿宋_GB2312" w:hAnsi="仿宋_GB2312" w:eastAsia="仿宋_GB2312" w:cs="仿宋_GB2312"/>
          <w:color w:val="000000" w:themeColor="text1"/>
          <w:sz w:val="32"/>
          <w:szCs w:val="32"/>
          <w:lang w:eastAsia="zh-CN"/>
          <w14:textFill>
            <w14:solidFill>
              <w14:schemeClr w14:val="tx1"/>
            </w14:solidFill>
          </w14:textFill>
        </w:rPr>
        <w:t>解决高层次高学历人才编制问题，另外考虑其他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如</w:t>
      </w:r>
      <w:r>
        <w:rPr>
          <w:rFonts w:hint="eastAsia" w:ascii="仿宋_GB2312" w:hAnsi="仿宋_GB2312" w:eastAsia="仿宋_GB2312" w:cs="仿宋_GB2312"/>
          <w:color w:val="000000" w:themeColor="text1"/>
          <w:sz w:val="32"/>
          <w:szCs w:val="32"/>
          <w:lang w:eastAsia="zh-CN"/>
          <w14:textFill>
            <w14:solidFill>
              <w14:schemeClr w14:val="tx1"/>
            </w14:solidFill>
          </w14:textFill>
        </w:rPr>
        <w:t>临床医学、麻醉、康复治疗学、</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护理、生物医学工程、财务、信息管理等</w:t>
      </w:r>
      <w:r>
        <w:rPr>
          <w:rFonts w:hint="eastAsia" w:ascii="仿宋_GB2312" w:hAnsi="仿宋_GB2312" w:eastAsia="仿宋_GB2312" w:cs="仿宋_GB2312"/>
          <w:color w:val="000000" w:themeColor="text1"/>
          <w:sz w:val="32"/>
          <w:szCs w:val="32"/>
          <w:lang w:eastAsia="zh-CN"/>
          <w14:textFill>
            <w14:solidFill>
              <w14:schemeClr w14:val="tx1"/>
            </w14:solidFill>
          </w14:textFill>
        </w:rPr>
        <w:t>全日制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本科</w:t>
      </w:r>
      <w:r>
        <w:rPr>
          <w:rFonts w:hint="eastAsia" w:ascii="仿宋_GB2312" w:hAnsi="仿宋_GB2312" w:eastAsia="仿宋_GB2312" w:cs="仿宋_GB2312"/>
          <w:color w:val="000000" w:themeColor="text1"/>
          <w:sz w:val="32"/>
          <w:szCs w:val="32"/>
          <w:lang w:eastAsia="zh-CN"/>
          <w14:textFill>
            <w14:solidFill>
              <w14:schemeClr w14:val="tx1"/>
            </w14:solidFill>
          </w14:textFill>
        </w:rPr>
        <w:t>学历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事业编制问题。这项工作落实后，可逐步解决在编人员的职称评聘、奖惩考核、工龄接续、工资保险等福利待遇，提高他们的安全感、职业感和归属感，保障其合法权益，更好的稳定青年人才队伍，保障仙桃卫生事业可持续发展。</w:t>
      </w:r>
    </w:p>
    <w:p>
      <w:pPr>
        <w:keepNext w:val="0"/>
        <w:keepLines w:val="0"/>
        <w:pageBreakBefore w:val="0"/>
        <w:widowControl w:val="0"/>
        <w:shd w:val="clear"/>
        <w:tabs>
          <w:tab w:val="left" w:pos="767"/>
        </w:tabs>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2.深化公立医院薪酬制度改革，稳步提高医务人员的薪酬水平。</w:t>
      </w:r>
      <w:r>
        <w:rPr>
          <w:rFonts w:hint="eastAsia" w:ascii="仿宋_GB2312" w:hAnsi="仿宋_GB2312" w:eastAsia="仿宋_GB2312" w:cs="仿宋_GB2312"/>
          <w:color w:val="000000" w:themeColor="text1"/>
          <w:spacing w:val="0"/>
          <w:sz w:val="32"/>
          <w:szCs w:val="32"/>
          <w14:textFill>
            <w14:solidFill>
              <w14:schemeClr w14:val="tx1"/>
            </w14:solidFill>
          </w14:textFill>
        </w:rPr>
        <w:t>在改革中既要关注医生培养周期长、职业风险高、技术难度大、责任担当重等与医务人员薪酬回报的相关性，调动医务人员参与医改、疫情防控、提高医疗服务质量的积极性，也不可忽略公立医院公益性对医院和医务人员的道德和义务要求。在“两个允许”要求下，根据医疗行业特点，适度提高医务人员薪酬水平。</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3.建立科学的人才引进退出机制，稳步提升优化医疗人才队伍建设。</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建议我市</w:t>
      </w:r>
      <w:r>
        <w:rPr>
          <w:rFonts w:hint="eastAsia" w:ascii="仿宋_GB2312" w:hAnsi="仿宋_GB2312" w:eastAsia="仿宋_GB2312" w:cs="仿宋_GB2312"/>
          <w:color w:val="000000" w:themeColor="text1"/>
          <w:spacing w:val="0"/>
          <w:sz w:val="32"/>
          <w:szCs w:val="32"/>
          <w14:textFill>
            <w14:solidFill>
              <w14:schemeClr w14:val="tx1"/>
            </w14:solidFill>
          </w14:textFill>
        </w:rPr>
        <w:t>在高层次人才引进上尽快制订优惠政策，建立“绿色通道”。针对急需的重点学科、技术带头人给予特殊的引入政策，建立与人才相匹配的人事关系、子女就学、住房优惠、薪金待遇等保障制度，使引进的医疗人才在岗位上能安心、尽心和舒心工作。同时，要建立人员的退出机制，对不能满足医院岗位需求或不能适应工作需要，合法合规地解聘或提前退休，实现医院人员“能上能下、能进能出”，激发医院的工作活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4.加快科研教学基地的建设步伐，稳步促进科研教学创新动能。</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科研教学基地的建成是进一步帮助医学生形成较为完整的毕业后医学教育体系，完整高素质临床医师的成长渠道。同时是深化医改、改善民生、打造健康中国的重要举措，也是为了提高医学生的的医疗保健通识素养，提升专业素质能力和专科特长，使医学生能更好的胜任临床医师工作。建议加快医疗培训基地建设和教学大楼建设，为医学人才提供科研平台，促进我市医疗服务水平高质量发展。</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r>
        <w:rPr>
          <w:rFonts w:hint="default" w:ascii="Times New Roman" w:hAnsi="Times New Roman"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Cs/>
          <w:caps w:val="0"/>
          <w:color w:val="000000" w:themeColor="text1"/>
          <w:spacing w:val="-11"/>
          <w:sz w:val="44"/>
          <w:szCs w:val="44"/>
          <w:lang w:val="en-US" w:eastAsia="zh-CN" w:bidi="ar-SA"/>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健全全民健身公共服务体系，为群众提供</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更多幸福感</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TimesNewRoman" w:hAnsi="TimesNewRoman" w:eastAsia="楷体_GB2312" w:cs="TimesNewRoman"/>
          <w:b/>
          <w:caps w:val="0"/>
          <w:color w:val="000000" w:themeColor="text1"/>
          <w:spacing w:val="0"/>
          <w:kern w:val="2"/>
          <w:sz w:val="32"/>
          <w:szCs w:val="32"/>
          <w:lang w:val="en-US" w:eastAsia="zh-CN" w:bidi="ar-SA"/>
          <w14:textFill>
            <w14:solidFill>
              <w14:schemeClr w14:val="tx1"/>
            </w14:solidFill>
          </w14:textFill>
        </w:rPr>
      </w:pPr>
      <w:r>
        <w:rPr>
          <w:rFonts w:hint="eastAsia" w:ascii="TimesNewRoman" w:hAnsi="TimesNewRoman" w:eastAsia="楷体_GB2312" w:cs="TimesNewRoman"/>
          <w:b/>
          <w:caps w:val="0"/>
          <w:color w:val="000000" w:themeColor="text1"/>
          <w:spacing w:val="0"/>
          <w:kern w:val="2"/>
          <w:sz w:val="32"/>
          <w:szCs w:val="32"/>
          <w:lang w:val="en-US" w:eastAsia="zh-CN" w:bidi="ar-SA"/>
          <w14:textFill>
            <w14:solidFill>
              <w14:schemeClr w14:val="tx1"/>
            </w14:solidFill>
          </w14:textFill>
        </w:rPr>
        <w:t>农工党委员组  罗建桥</w:t>
      </w:r>
    </w:p>
    <w:p>
      <w:pPr>
        <w:keepNext w:val="0"/>
        <w:keepLines w:val="0"/>
        <w:pageBreakBefore w:val="0"/>
        <w:widowControl w:val="0"/>
        <w:shd w:val="clear"/>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澳大利亚</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70%以上的医保资金用于了全民健身公共服务体系建设，日本每万人足球场数量达到了11.2座，欧美等国家步行15分钟健身圈早已形成，融入了市民生活，发达国家的成功经验一再证明健全全民健身公共服务体系不仅是降低医保压力的有用之策，而且是提升国民体质，增强民众幸福感、获得感的务实之举。</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今</w:t>
      </w:r>
      <w:r>
        <w:rPr>
          <w:rFonts w:hint="eastAsia" w:ascii="仿宋_GB2312" w:hAnsi="仿宋_GB2312" w:eastAsia="仿宋_GB2312" w:cs="仿宋_GB2312"/>
          <w:color w:val="000000" w:themeColor="text1"/>
          <w:spacing w:val="0"/>
          <w:sz w:val="32"/>
          <w:szCs w:val="32"/>
          <w14:textFill>
            <w14:solidFill>
              <w14:schemeClr w14:val="tx1"/>
            </w14:solidFill>
          </w14:textFill>
        </w:rPr>
        <w:t>年是毛主席题词“发展体育运动，增强人民体质”70周年，中共中央办公厅、国务院办公厅印发了《关于构建更高水平的全民健身公共服务体系的意见》，要求各地区各部门结合实际认真贯彻落实。</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我市一直重视公共体育事业发展，正是良好的群众参与基础，才为“亚洲体操之乡”积累了人才资源，储备了人才基础。</w:t>
      </w:r>
      <w:r>
        <w:rPr>
          <w:rFonts w:hint="eastAsia" w:ascii="仿宋_GB2312" w:hAnsi="仿宋_GB2312" w:eastAsia="仿宋_GB2312" w:cs="仿宋_GB2312"/>
          <w:color w:val="000000" w:themeColor="text1"/>
          <w:spacing w:val="0"/>
          <w:sz w:val="32"/>
          <w:szCs w:val="32"/>
          <w14:textFill>
            <w14:solidFill>
              <w14:schemeClr w14:val="tx1"/>
            </w14:solidFill>
          </w14:textFill>
        </w:rPr>
        <w:t>自2017年以来，</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我市</w:t>
      </w:r>
      <w:r>
        <w:rPr>
          <w:rFonts w:hint="eastAsia" w:ascii="仿宋_GB2312" w:hAnsi="仿宋_GB2312" w:eastAsia="仿宋_GB2312" w:cs="仿宋_GB2312"/>
          <w:color w:val="000000" w:themeColor="text1"/>
          <w:spacing w:val="0"/>
          <w:sz w:val="32"/>
          <w:szCs w:val="32"/>
          <w14:textFill>
            <w14:solidFill>
              <w14:schemeClr w14:val="tx1"/>
            </w14:solidFill>
          </w14:textFill>
        </w:rPr>
        <w:t>体育事业发展迅速，全市累计投入全民健身场地设施建设资金3789万元，建设新全民健身示范工程45个</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自建场地19个，安装全民健身路径556套、篮球架176副、乒乓球台175副。虽然基层健身设施条件得到明显改善，但</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与健全高质量全民健身公共服务体系，与满足群众需求仍有较大距离。</w:t>
      </w:r>
      <w:r>
        <w:rPr>
          <w:rFonts w:hint="eastAsia" w:ascii="仿宋_GB2312" w:hAnsi="仿宋_GB2312" w:eastAsia="仿宋_GB2312" w:cs="仿宋_GB2312"/>
          <w:b/>
          <w:bCs/>
          <w:color w:val="000000" w:themeColor="text1"/>
          <w:spacing w:val="0"/>
          <w:sz w:val="32"/>
          <w:szCs w:val="32"/>
          <w:lang w:eastAsia="zh-CN"/>
          <w14:textFill>
            <w14:solidFill>
              <w14:schemeClr w14:val="tx1"/>
            </w14:solidFill>
          </w14:textFill>
        </w:rPr>
        <w:t>一是</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健身器材老旧，公益性健身场地总量投入不足，营业性健身场地项目选择较少，收费较高，且资源分布不均，迟滞了居民健身的步伐。</w:t>
      </w:r>
      <w:r>
        <w:rPr>
          <w:rFonts w:hint="eastAsia" w:ascii="仿宋_GB2312" w:hAnsi="仿宋_GB2312" w:eastAsia="仿宋_GB2312" w:cs="仿宋_GB2312"/>
          <w:b/>
          <w:bCs/>
          <w:color w:val="000000" w:themeColor="text1"/>
          <w:spacing w:val="0"/>
          <w:sz w:val="32"/>
          <w:szCs w:val="32"/>
          <w:lang w:eastAsia="zh-CN"/>
          <w14:textFill>
            <w14:solidFill>
              <w14:schemeClr w14:val="tx1"/>
            </w14:solidFill>
          </w14:textFill>
        </w:rPr>
        <w:t>二是</w:t>
      </w:r>
      <w:r>
        <w:rPr>
          <w:rFonts w:hint="eastAsia" w:ascii="仿宋_GB2312" w:hAnsi="仿宋_GB2312" w:eastAsia="仿宋_GB2312" w:cs="仿宋_GB2312"/>
          <w:color w:val="000000" w:themeColor="text1"/>
          <w:spacing w:val="0"/>
          <w:sz w:val="32"/>
          <w:szCs w:val="32"/>
          <w14:textFill>
            <w14:solidFill>
              <w14:schemeClr w14:val="tx1"/>
            </w14:solidFill>
          </w14:textFill>
        </w:rPr>
        <w:t>运动器材投放比例不合理，不能满足各个年龄段的需求</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b/>
          <w:bCs/>
          <w:color w:val="000000" w:themeColor="text1"/>
          <w:spacing w:val="0"/>
          <w:sz w:val="32"/>
          <w:szCs w:val="32"/>
          <w:lang w:eastAsia="zh-CN"/>
          <w14:textFill>
            <w14:solidFill>
              <w14:schemeClr w14:val="tx1"/>
            </w14:solidFill>
          </w14:textFill>
        </w:rPr>
        <w:t>三是</w:t>
      </w:r>
      <w:r>
        <w:rPr>
          <w:rFonts w:hint="eastAsia" w:ascii="仿宋_GB2312" w:hAnsi="仿宋_GB2312" w:eastAsia="仿宋_GB2312" w:cs="仿宋_GB2312"/>
          <w:color w:val="000000" w:themeColor="text1"/>
          <w:spacing w:val="0"/>
          <w:sz w:val="32"/>
          <w:szCs w:val="32"/>
          <w14:textFill>
            <w14:solidFill>
              <w14:schemeClr w14:val="tx1"/>
            </w14:solidFill>
          </w14:textFill>
        </w:rPr>
        <w:t>民众缺少</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专业</w:t>
      </w:r>
      <w:r>
        <w:rPr>
          <w:rFonts w:hint="eastAsia" w:ascii="仿宋_GB2312" w:hAnsi="仿宋_GB2312" w:eastAsia="仿宋_GB2312" w:cs="仿宋_GB2312"/>
          <w:color w:val="000000" w:themeColor="text1"/>
          <w:spacing w:val="0"/>
          <w:sz w:val="32"/>
          <w:szCs w:val="32"/>
          <w14:textFill>
            <w14:solidFill>
              <w14:schemeClr w14:val="tx1"/>
            </w14:solidFill>
          </w14:textFill>
        </w:rPr>
        <w:t>指导，盲目健身</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效益不高。</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这些问题如不加以重视和有效解决，必然会影响全民健身参与度，给创建全国文明城市带来阻碍，也不利于打造宜居仙桃、幸福仙桃目标的实现。因此，我</w:t>
      </w:r>
      <w:r>
        <w:rPr>
          <w:rFonts w:hint="eastAsia" w:ascii="仿宋_GB2312" w:hAnsi="仿宋_GB2312" w:eastAsia="仿宋_GB2312" w:cs="仿宋_GB2312"/>
          <w:color w:val="000000" w:themeColor="text1"/>
          <w:spacing w:val="0"/>
          <w:sz w:val="32"/>
          <w:szCs w:val="32"/>
          <w14:textFill>
            <w14:solidFill>
              <w14:schemeClr w14:val="tx1"/>
            </w14:solidFill>
          </w14:textFill>
        </w:rPr>
        <w:t>建议：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1.加大宣传力度形成导向。</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正确的舆论导向</w:t>
      </w:r>
      <w:r>
        <w:rPr>
          <w:rFonts w:hint="eastAsia" w:eastAsia="仿宋_GB2312" w:cs="Times New Roman"/>
          <w:color w:val="000000" w:themeColor="text1"/>
          <w:spacing w:val="0"/>
          <w:sz w:val="32"/>
          <w:szCs w:val="32"/>
          <w:lang w:val="en-US" w:eastAsia="zh-CN"/>
          <w14:textFill>
            <w14:solidFill>
              <w14:schemeClr w14:val="tx1"/>
            </w14:solidFill>
          </w14:textFill>
        </w:rPr>
        <w:t>是引领社会良好风尚习惯的风向标，要发挥好社会宣传的教育教化作用，推进全民健身形成共识。</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要创新宣</w:t>
      </w:r>
      <w:r>
        <w:rPr>
          <w:rFonts w:hint="eastAsia" w:ascii="Times New Roman" w:hAnsi="Times New Roman" w:eastAsia="仿宋_GB2312" w:cs="Times New Roman"/>
          <w:color w:val="000000" w:themeColor="text1"/>
          <w:spacing w:val="0"/>
          <w:sz w:val="32"/>
          <w:szCs w:val="32"/>
          <w14:textFill>
            <w14:solidFill>
              <w14:schemeClr w14:val="tx1"/>
            </w14:solidFill>
          </w14:textFill>
        </w:rPr>
        <w:t>传思路</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14:textFill>
            <w14:solidFill>
              <w14:schemeClr w14:val="tx1"/>
            </w14:solidFill>
          </w14:textFill>
        </w:rPr>
        <w:t>拓宽宣传渠道，既不摒弃原有的广播、版报等宣传方式</w:t>
      </w:r>
      <w:r>
        <w:rPr>
          <w:rFonts w:hint="eastAsia" w:eastAsia="仿宋_GB2312" w:cs="Times New Roman"/>
          <w:color w:val="000000" w:themeColor="text1"/>
          <w:spacing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14:textFill>
            <w14:solidFill>
              <w14:schemeClr w14:val="tx1"/>
            </w14:solidFill>
          </w14:textFill>
        </w:rPr>
        <w:t>又要充分利用报刊、电视台、互联网等媒体</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w:t>
      </w:r>
      <w:r>
        <w:rPr>
          <w:rFonts w:hint="eastAsia" w:eastAsia="仿宋_GB2312" w:cs="Times New Roman"/>
          <w:color w:val="000000" w:themeColor="text1"/>
          <w:spacing w:val="0"/>
          <w:sz w:val="32"/>
          <w:szCs w:val="32"/>
          <w:lang w:eastAsia="zh-CN"/>
          <w14:textFill>
            <w14:solidFill>
              <w14:schemeClr w14:val="tx1"/>
            </w14:solidFill>
          </w14:textFill>
        </w:rPr>
        <w:t>在全社会营造出“我健身、我健康、我快乐”的正确生活观念。要积极运用媒体作用</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在电台、电视台开辟专栏，</w:t>
      </w:r>
      <w:r>
        <w:rPr>
          <w:rFonts w:hint="eastAsia" w:eastAsia="仿宋_GB2312" w:cs="Times New Roman"/>
          <w:color w:val="000000" w:themeColor="text1"/>
          <w:spacing w:val="0"/>
          <w:sz w:val="32"/>
          <w:szCs w:val="32"/>
          <w:lang w:eastAsia="zh-CN"/>
          <w14:textFill>
            <w14:solidFill>
              <w14:schemeClr w14:val="tx1"/>
            </w14:solidFill>
          </w14:textFill>
        </w:rPr>
        <w:t>传播</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指导</w:t>
      </w:r>
      <w:r>
        <w:rPr>
          <w:rFonts w:hint="eastAsia" w:eastAsia="仿宋_GB2312" w:cs="Times New Roman"/>
          <w:color w:val="000000" w:themeColor="text1"/>
          <w:spacing w:val="0"/>
          <w:sz w:val="32"/>
          <w:szCs w:val="32"/>
          <w:lang w:eastAsia="zh-CN"/>
          <w14:textFill>
            <w14:solidFill>
              <w14:schemeClr w14:val="tx1"/>
            </w14:solidFill>
          </w14:textFill>
        </w:rPr>
        <w:t>正确的健身方法，引导</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全民参与各类</w:t>
      </w:r>
      <w:r>
        <w:rPr>
          <w:rFonts w:hint="eastAsia" w:eastAsia="仿宋_GB2312" w:cs="Times New Roman"/>
          <w:color w:val="000000" w:themeColor="text1"/>
          <w:spacing w:val="0"/>
          <w:sz w:val="32"/>
          <w:szCs w:val="32"/>
          <w:lang w:eastAsia="zh-CN"/>
          <w14:textFill>
            <w14:solidFill>
              <w14:schemeClr w14:val="tx1"/>
            </w14:solidFill>
          </w14:textFill>
        </w:rPr>
        <w:t>有益的</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体育活动</w:t>
      </w:r>
      <w:r>
        <w:rPr>
          <w:rFonts w:hint="eastAsia" w:eastAsia="仿宋_GB2312" w:cs="Times New Roman"/>
          <w:color w:val="000000" w:themeColor="text1"/>
          <w:spacing w:val="0"/>
          <w:sz w:val="32"/>
          <w:szCs w:val="32"/>
          <w:lang w:eastAsia="zh-CN"/>
          <w14:textFill>
            <w14:solidFill>
              <w14:schemeClr w14:val="tx1"/>
            </w14:solidFill>
          </w14:textFill>
        </w:rPr>
        <w:t>。要</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不断</w:t>
      </w:r>
      <w:r>
        <w:rPr>
          <w:rFonts w:hint="eastAsia" w:eastAsia="仿宋_GB2312" w:cs="Times New Roman"/>
          <w:color w:val="000000" w:themeColor="text1"/>
          <w:spacing w:val="0"/>
          <w:sz w:val="32"/>
          <w:szCs w:val="32"/>
          <w:lang w:eastAsia="zh-CN"/>
          <w14:textFill>
            <w14:solidFill>
              <w14:schemeClr w14:val="tx1"/>
            </w14:solidFill>
          </w14:textFill>
        </w:rPr>
        <w:t>推</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出覆盖各年龄、各行业、各类人群都能接受的健身项目，</w:t>
      </w:r>
      <w:r>
        <w:rPr>
          <w:rFonts w:hint="eastAsia" w:eastAsia="仿宋_GB2312" w:cs="Times New Roman"/>
          <w:color w:val="000000" w:themeColor="text1"/>
          <w:spacing w:val="0"/>
          <w:sz w:val="32"/>
          <w:szCs w:val="32"/>
          <w:lang w:eastAsia="zh-CN"/>
          <w14:textFill>
            <w14:solidFill>
              <w14:schemeClr w14:val="tx1"/>
            </w14:solidFill>
          </w14:textFill>
        </w:rPr>
        <w:t>吸引</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市民广泛参与，同时通过组织各类社会性赛事活动把市民</w:t>
      </w:r>
      <w:r>
        <w:rPr>
          <w:rFonts w:hint="eastAsia" w:eastAsia="仿宋_GB2312" w:cs="Times New Roman"/>
          <w:color w:val="000000" w:themeColor="text1"/>
          <w:spacing w:val="0"/>
          <w:sz w:val="32"/>
          <w:szCs w:val="32"/>
          <w:lang w:eastAsia="zh-CN"/>
          <w14:textFill>
            <w14:solidFill>
              <w14:schemeClr w14:val="tx1"/>
            </w14:solidFill>
          </w14:textFill>
        </w:rPr>
        <w:t>请</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进来，把氛围营造起来，形成全民健身百花齐放、百项争鸣的蓬勃局面。</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2.拓宽建设思路增强供给。</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要</w:t>
      </w:r>
      <w:r>
        <w:rPr>
          <w:rFonts w:hint="eastAsia" w:eastAsia="仿宋_GB2312" w:cs="Times New Roman"/>
          <w:color w:val="000000" w:themeColor="text1"/>
          <w:spacing w:val="0"/>
          <w:sz w:val="32"/>
          <w:szCs w:val="32"/>
          <w:lang w:eastAsia="zh-CN"/>
          <w14:textFill>
            <w14:solidFill>
              <w14:schemeClr w14:val="tx1"/>
            </w14:solidFill>
          </w14:textFill>
        </w:rPr>
        <w:t>加大</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公益性健身场所</w:t>
      </w:r>
      <w:r>
        <w:rPr>
          <w:rFonts w:hint="eastAsia" w:eastAsia="仿宋_GB2312" w:cs="Times New Roman"/>
          <w:color w:val="000000" w:themeColor="text1"/>
          <w:spacing w:val="0"/>
          <w:sz w:val="32"/>
          <w:szCs w:val="32"/>
          <w:lang w:eastAsia="zh-CN"/>
          <w14:textFill>
            <w14:solidFill>
              <w14:schemeClr w14:val="tx1"/>
            </w14:solidFill>
          </w14:textFill>
        </w:rPr>
        <w:t>建设力度，</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因地制宜建设各类健身设施，</w:t>
      </w:r>
      <w:r>
        <w:rPr>
          <w:rFonts w:hint="eastAsia" w:eastAsia="仿宋_GB2312" w:cs="Times New Roman"/>
          <w:color w:val="000000" w:themeColor="text1"/>
          <w:spacing w:val="0"/>
          <w:sz w:val="32"/>
          <w:szCs w:val="32"/>
          <w:lang w:eastAsia="zh-CN"/>
          <w14:textFill>
            <w14:solidFill>
              <w14:schemeClr w14:val="tx1"/>
            </w14:solidFill>
          </w14:textFill>
        </w:rPr>
        <w:t>不断提升</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市民容纳率，杜绝重复简单</w:t>
      </w:r>
      <w:r>
        <w:rPr>
          <w:rFonts w:hint="eastAsia" w:eastAsia="仿宋_GB2312" w:cs="Times New Roman"/>
          <w:color w:val="000000" w:themeColor="text1"/>
          <w:spacing w:val="0"/>
          <w:sz w:val="32"/>
          <w:szCs w:val="32"/>
          <w:lang w:eastAsia="zh-CN"/>
          <w14:textFill>
            <w14:solidFill>
              <w14:schemeClr w14:val="tx1"/>
            </w14:solidFill>
          </w14:textFill>
        </w:rPr>
        <w:t>建设</w:t>
      </w:r>
      <w:r>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t>。要</w:t>
      </w:r>
      <w:r>
        <w:rPr>
          <w:rFonts w:hint="eastAsia" w:ascii="Times New Roman" w:hAnsi="Times New Roman" w:eastAsia="仿宋_GB2312" w:cs="Times New Roman"/>
          <w:color w:val="000000" w:themeColor="text1"/>
          <w:spacing w:val="0"/>
          <w:sz w:val="32"/>
          <w:szCs w:val="32"/>
          <w14:textFill>
            <w14:solidFill>
              <w14:schemeClr w14:val="tx1"/>
            </w14:solidFill>
          </w14:textFill>
        </w:rPr>
        <w:t>规范健身设施和场地的安全标准，</w:t>
      </w:r>
      <w:r>
        <w:rPr>
          <w:rFonts w:hint="eastAsia" w:eastAsia="仿宋_GB2312" w:cs="Times New Roman"/>
          <w:color w:val="000000" w:themeColor="text1"/>
          <w:spacing w:val="0"/>
          <w:sz w:val="32"/>
          <w:szCs w:val="32"/>
          <w:lang w:eastAsia="zh-CN"/>
          <w14:textFill>
            <w14:solidFill>
              <w14:schemeClr w14:val="tx1"/>
            </w14:solidFill>
          </w14:textFill>
        </w:rPr>
        <w:t>体育主管部门和市政管理部门要配合</w:t>
      </w:r>
      <w:r>
        <w:rPr>
          <w:rFonts w:hint="eastAsia" w:ascii="Times New Roman" w:hAnsi="Times New Roman" w:eastAsia="仿宋_GB2312" w:cs="Times New Roman"/>
          <w:color w:val="000000" w:themeColor="text1"/>
          <w:spacing w:val="0"/>
          <w:sz w:val="32"/>
          <w:szCs w:val="32"/>
          <w14:textFill>
            <w14:solidFill>
              <w14:schemeClr w14:val="tx1"/>
            </w14:solidFill>
          </w14:textFill>
        </w:rPr>
        <w:t>各个街道社区定期检查并维护健身设施以及场地</w:t>
      </w:r>
      <w:r>
        <w:rPr>
          <w:rFonts w:hint="eastAsia" w:eastAsia="仿宋_GB2312" w:cs="Times New Roman"/>
          <w:color w:val="000000" w:themeColor="text1"/>
          <w:spacing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14:textFill>
            <w14:solidFill>
              <w14:schemeClr w14:val="tx1"/>
            </w14:solidFill>
          </w14:textFill>
        </w:rPr>
        <w:t>做好爱护健身器材宣传工作，呼吁市民爱惜</w:t>
      </w:r>
      <w:r>
        <w:rPr>
          <w:rFonts w:hint="eastAsia" w:eastAsia="仿宋_GB2312" w:cs="Times New Roman"/>
          <w:color w:val="000000" w:themeColor="text1"/>
          <w:spacing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14:textFill>
            <w14:solidFill>
              <w14:schemeClr w14:val="tx1"/>
            </w14:solidFill>
          </w14:textFill>
        </w:rPr>
        <w:t>爱护健身器材</w:t>
      </w:r>
      <w:r>
        <w:rPr>
          <w:rFonts w:hint="eastAsia" w:eastAsia="仿宋_GB2312" w:cs="Times New Roman"/>
          <w:color w:val="000000" w:themeColor="text1"/>
          <w:spacing w:val="0"/>
          <w:sz w:val="32"/>
          <w:szCs w:val="32"/>
          <w:lang w:eastAsia="zh-CN"/>
          <w14:textFill>
            <w14:solidFill>
              <w14:schemeClr w14:val="tx1"/>
            </w14:solidFill>
          </w14:textFill>
        </w:rPr>
        <w:t>，全面提升现有健身设施的使用效率。</w:t>
      </w:r>
      <w:r>
        <w:rPr>
          <w:rFonts w:hint="eastAsia" w:ascii="Times New Roman" w:hAnsi="Times New Roman" w:eastAsia="仿宋_GB2312" w:cs="Times New Roman"/>
          <w:color w:val="000000" w:themeColor="text1"/>
          <w:spacing w:val="0"/>
          <w:sz w:val="32"/>
          <w:szCs w:val="32"/>
          <w14:textFill>
            <w14:solidFill>
              <w14:schemeClr w14:val="tx1"/>
            </w14:solidFill>
          </w14:textFill>
        </w:rPr>
        <w:t>在扩大增量的同时，更要盘活存量，对公共体育设施加大开放力度，逐步</w:t>
      </w:r>
      <w:r>
        <w:rPr>
          <w:rFonts w:hint="eastAsia" w:eastAsia="仿宋_GB2312" w:cs="Times New Roman"/>
          <w:color w:val="000000" w:themeColor="text1"/>
          <w:spacing w:val="0"/>
          <w:sz w:val="32"/>
          <w:szCs w:val="32"/>
          <w:lang w:eastAsia="zh-CN"/>
          <w14:textFill>
            <w14:solidFill>
              <w14:schemeClr w14:val="tx1"/>
            </w14:solidFill>
          </w14:textFill>
        </w:rPr>
        <w:t>增加</w:t>
      </w:r>
      <w:r>
        <w:rPr>
          <w:rFonts w:hint="eastAsia" w:ascii="Times New Roman" w:hAnsi="Times New Roman" w:eastAsia="仿宋_GB2312" w:cs="Times New Roman"/>
          <w:color w:val="000000" w:themeColor="text1"/>
          <w:spacing w:val="0"/>
          <w:sz w:val="32"/>
          <w:szCs w:val="32"/>
          <w14:textFill>
            <w14:solidFill>
              <w14:schemeClr w14:val="tx1"/>
            </w14:solidFill>
          </w14:textFill>
        </w:rPr>
        <w:t>体育场馆对外开放</w:t>
      </w:r>
      <w:r>
        <w:rPr>
          <w:rFonts w:hint="eastAsia" w:eastAsia="仿宋_GB2312" w:cs="Times New Roman"/>
          <w:color w:val="000000" w:themeColor="text1"/>
          <w:spacing w:val="0"/>
          <w:sz w:val="32"/>
          <w:szCs w:val="32"/>
          <w:lang w:eastAsia="zh-CN"/>
          <w14:textFill>
            <w14:solidFill>
              <w14:schemeClr w14:val="tx1"/>
            </w14:solidFill>
          </w14:textFill>
        </w:rPr>
        <w:t>时间</w:t>
      </w:r>
      <w:r>
        <w:rPr>
          <w:rFonts w:hint="eastAsia" w:ascii="Times New Roman" w:hAnsi="Times New Roman" w:eastAsia="仿宋_GB2312" w:cs="Times New Roman"/>
          <w:color w:val="000000" w:themeColor="text1"/>
          <w:spacing w:val="0"/>
          <w:sz w:val="32"/>
          <w:szCs w:val="32"/>
          <w14:textFill>
            <w14:solidFill>
              <w14:schemeClr w14:val="tx1"/>
            </w14:solidFill>
          </w14:textFill>
        </w:rPr>
        <w:t>，避免造成闲置浪费。</w:t>
      </w:r>
      <w:r>
        <w:rPr>
          <w:rFonts w:hint="eastAsia" w:eastAsia="仿宋_GB2312" w:cs="Times New Roman"/>
          <w:color w:val="000000" w:themeColor="text1"/>
          <w:spacing w:val="0"/>
          <w:sz w:val="32"/>
          <w:szCs w:val="32"/>
          <w:lang w:eastAsia="zh-CN"/>
          <w14:textFill>
            <w14:solidFill>
              <w14:schemeClr w14:val="tx1"/>
            </w14:solidFill>
          </w14:textFill>
        </w:rPr>
        <w:t>要</w:t>
      </w:r>
      <w:r>
        <w:rPr>
          <w:rFonts w:hint="eastAsia" w:ascii="Times New Roman" w:hAnsi="Times New Roman" w:eastAsia="仿宋_GB2312" w:cs="Times New Roman"/>
          <w:color w:val="000000" w:themeColor="text1"/>
          <w:spacing w:val="0"/>
          <w:sz w:val="32"/>
          <w:szCs w:val="32"/>
          <w14:textFill>
            <w14:solidFill>
              <w14:schemeClr w14:val="tx1"/>
            </w14:solidFill>
          </w14:textFill>
        </w:rPr>
        <w:t>依据“</w:t>
      </w:r>
      <w:r>
        <w:rPr>
          <w:rFonts w:hint="eastAsia" w:eastAsia="仿宋_GB2312" w:cs="Times New Roman"/>
          <w:color w:val="000000" w:themeColor="text1"/>
          <w:spacing w:val="0"/>
          <w:sz w:val="32"/>
          <w:szCs w:val="32"/>
          <w:lang w:eastAsia="zh-CN"/>
          <w14:textFill>
            <w14:solidFill>
              <w14:schemeClr w14:val="tx1"/>
            </w14:solidFill>
          </w14:textFill>
        </w:rPr>
        <w:t>城乡并重、统筹布局</w:t>
      </w:r>
      <w:r>
        <w:rPr>
          <w:rFonts w:hint="eastAsia" w:ascii="Times New Roman" w:hAnsi="Times New Roman" w:eastAsia="仿宋_GB2312" w:cs="Times New Roman"/>
          <w:color w:val="000000" w:themeColor="text1"/>
          <w:spacing w:val="0"/>
          <w:sz w:val="32"/>
          <w:szCs w:val="32"/>
          <w14:textFill>
            <w14:solidFill>
              <w14:schemeClr w14:val="tx1"/>
            </w14:solidFill>
          </w14:textFill>
        </w:rPr>
        <w:t>”</w:t>
      </w:r>
      <w:r>
        <w:rPr>
          <w:rFonts w:hint="eastAsia" w:eastAsia="仿宋_GB2312" w:cs="Times New Roman"/>
          <w:color w:val="000000" w:themeColor="text1"/>
          <w:spacing w:val="0"/>
          <w:sz w:val="32"/>
          <w:szCs w:val="32"/>
          <w:lang w:eastAsia="zh-CN"/>
          <w14:textFill>
            <w14:solidFill>
              <w14:schemeClr w14:val="tx1"/>
            </w14:solidFill>
          </w14:textFill>
        </w:rPr>
        <w:t>的</w:t>
      </w:r>
      <w:r>
        <w:rPr>
          <w:rFonts w:hint="eastAsia" w:ascii="Times New Roman" w:hAnsi="Times New Roman" w:eastAsia="仿宋_GB2312" w:cs="Times New Roman"/>
          <w:color w:val="000000" w:themeColor="text1"/>
          <w:spacing w:val="0"/>
          <w:sz w:val="32"/>
          <w:szCs w:val="32"/>
          <w14:textFill>
            <w14:solidFill>
              <w14:schemeClr w14:val="tx1"/>
            </w14:solidFill>
          </w14:textFill>
        </w:rPr>
        <w:t>原则，通过整体</w:t>
      </w:r>
      <w:r>
        <w:rPr>
          <w:rFonts w:hint="eastAsia" w:eastAsia="仿宋_GB2312" w:cs="Times New Roman"/>
          <w:color w:val="000000" w:themeColor="text1"/>
          <w:spacing w:val="0"/>
          <w:sz w:val="32"/>
          <w:szCs w:val="32"/>
          <w:lang w:eastAsia="zh-CN"/>
          <w14:textFill>
            <w14:solidFill>
              <w14:schemeClr w14:val="tx1"/>
            </w14:solidFill>
          </w14:textFill>
        </w:rPr>
        <w:t>规划</w:t>
      </w:r>
      <w:r>
        <w:rPr>
          <w:rFonts w:hint="eastAsia" w:ascii="Times New Roman" w:hAnsi="Times New Roman" w:eastAsia="仿宋_GB2312" w:cs="Times New Roman"/>
          <w:color w:val="000000" w:themeColor="text1"/>
          <w:spacing w:val="0"/>
          <w:sz w:val="32"/>
          <w:szCs w:val="32"/>
          <w14:textFill>
            <w14:solidFill>
              <w14:schemeClr w14:val="tx1"/>
            </w14:solidFill>
          </w14:textFill>
        </w:rPr>
        <w:t>、分批推进、分类指导，为推进全民健身运动</w:t>
      </w:r>
      <w:r>
        <w:rPr>
          <w:rFonts w:hint="eastAsia" w:eastAsia="仿宋_GB2312" w:cs="Times New Roman"/>
          <w:color w:val="000000" w:themeColor="text1"/>
          <w:spacing w:val="0"/>
          <w:sz w:val="32"/>
          <w:szCs w:val="32"/>
          <w:lang w:eastAsia="zh-CN"/>
          <w14:textFill>
            <w14:solidFill>
              <w14:schemeClr w14:val="tx1"/>
            </w14:solidFill>
          </w14:textFill>
        </w:rPr>
        <w:t>营造</w:t>
      </w:r>
      <w:r>
        <w:rPr>
          <w:rFonts w:hint="eastAsia" w:ascii="Times New Roman" w:hAnsi="Times New Roman" w:eastAsia="仿宋_GB2312" w:cs="Times New Roman"/>
          <w:color w:val="000000" w:themeColor="text1"/>
          <w:spacing w:val="0"/>
          <w:sz w:val="32"/>
          <w:szCs w:val="32"/>
          <w14:textFill>
            <w14:solidFill>
              <w14:schemeClr w14:val="tx1"/>
            </w14:solidFill>
          </w14:textFill>
        </w:rPr>
        <w:t>良好</w:t>
      </w:r>
      <w:r>
        <w:rPr>
          <w:rFonts w:hint="eastAsia" w:eastAsia="仿宋_GB2312" w:cs="Times New Roman"/>
          <w:color w:val="000000" w:themeColor="text1"/>
          <w:spacing w:val="0"/>
          <w:sz w:val="32"/>
          <w:szCs w:val="32"/>
          <w:lang w:eastAsia="zh-CN"/>
          <w14:textFill>
            <w14:solidFill>
              <w14:schemeClr w14:val="tx1"/>
            </w14:solidFill>
          </w14:textFill>
        </w:rPr>
        <w:t>软硬条件。千方百计提升供给质量和水平，</w:t>
      </w:r>
      <w:r>
        <w:rPr>
          <w:rFonts w:hint="eastAsia" w:ascii="Times New Roman" w:hAnsi="Times New Roman" w:eastAsia="仿宋_GB2312" w:cs="Times New Roman"/>
          <w:color w:val="000000" w:themeColor="text1"/>
          <w:spacing w:val="0"/>
          <w:sz w:val="32"/>
          <w:szCs w:val="32"/>
          <w14:textFill>
            <w14:solidFill>
              <w14:schemeClr w14:val="tx1"/>
            </w14:solidFill>
          </w14:textFill>
        </w:rPr>
        <w:t>老城区</w:t>
      </w:r>
      <w:r>
        <w:rPr>
          <w:rFonts w:hint="eastAsia" w:eastAsia="仿宋_GB2312" w:cs="Times New Roman"/>
          <w:color w:val="000000" w:themeColor="text1"/>
          <w:spacing w:val="0"/>
          <w:sz w:val="32"/>
          <w:szCs w:val="32"/>
          <w:lang w:eastAsia="zh-CN"/>
          <w14:textFill>
            <w14:solidFill>
              <w14:schemeClr w14:val="tx1"/>
            </w14:solidFill>
          </w14:textFill>
        </w:rPr>
        <w:t>要积极</w:t>
      </w:r>
      <w:r>
        <w:rPr>
          <w:rFonts w:hint="eastAsia" w:ascii="Times New Roman" w:hAnsi="Times New Roman" w:eastAsia="仿宋_GB2312" w:cs="Times New Roman"/>
          <w:color w:val="000000" w:themeColor="text1"/>
          <w:spacing w:val="0"/>
          <w:sz w:val="32"/>
          <w:szCs w:val="32"/>
          <w14:textFill>
            <w14:solidFill>
              <w14:schemeClr w14:val="tx1"/>
            </w14:solidFill>
          </w14:textFill>
        </w:rPr>
        <w:t>鼓励运用市场机制盘活低效用地，新建城区要科学规划社区全民健身中心，</w:t>
      </w:r>
      <w:r>
        <w:rPr>
          <w:rFonts w:hint="eastAsia" w:eastAsia="仿宋_GB2312" w:cs="Times New Roman"/>
          <w:color w:val="000000" w:themeColor="text1"/>
          <w:spacing w:val="0"/>
          <w:sz w:val="32"/>
          <w:szCs w:val="32"/>
          <w:lang w:eastAsia="zh-CN"/>
          <w14:textFill>
            <w14:solidFill>
              <w14:schemeClr w14:val="tx1"/>
            </w14:solidFill>
          </w14:textFill>
        </w:rPr>
        <w:t>实现</w:t>
      </w:r>
      <w:r>
        <w:rPr>
          <w:rFonts w:hint="eastAsia" w:ascii="Times New Roman" w:hAnsi="Times New Roman" w:eastAsia="仿宋_GB2312" w:cs="Times New Roman"/>
          <w:color w:val="000000" w:themeColor="text1"/>
          <w:spacing w:val="0"/>
          <w:sz w:val="32"/>
          <w:szCs w:val="32"/>
          <w14:textFill>
            <w14:solidFill>
              <w14:schemeClr w14:val="tx1"/>
            </w14:solidFill>
          </w14:textFill>
        </w:rPr>
        <w:t>生产生活空间相互融合</w:t>
      </w:r>
      <w:r>
        <w:rPr>
          <w:rFonts w:hint="eastAsia" w:eastAsia="仿宋_GB2312" w:cs="Times New Roman"/>
          <w:color w:val="000000" w:themeColor="text1"/>
          <w:spacing w:val="0"/>
          <w:sz w:val="32"/>
          <w:szCs w:val="32"/>
          <w:lang w:eastAsia="zh-CN"/>
          <w14:textFill>
            <w14:solidFill>
              <w14:schemeClr w14:val="tx1"/>
            </w14:solidFill>
          </w14:textFill>
        </w:rPr>
        <w:t>。要发挥好</w:t>
      </w:r>
      <w:r>
        <w:rPr>
          <w:rFonts w:hint="eastAsia" w:ascii="Times New Roman" w:hAnsi="Times New Roman" w:eastAsia="仿宋_GB2312" w:cs="Times New Roman"/>
          <w:color w:val="000000" w:themeColor="text1"/>
          <w:spacing w:val="0"/>
          <w:sz w:val="32"/>
          <w:szCs w:val="32"/>
          <w14:textFill>
            <w14:solidFill>
              <w14:schemeClr w14:val="tx1"/>
            </w14:solidFill>
          </w14:textFill>
        </w:rPr>
        <w:t>绿环绿廊相互嵌套的健身设施</w:t>
      </w:r>
      <w:r>
        <w:rPr>
          <w:rFonts w:hint="eastAsia" w:eastAsia="仿宋_GB2312" w:cs="Times New Roman"/>
          <w:color w:val="000000" w:themeColor="text1"/>
          <w:spacing w:val="0"/>
          <w:sz w:val="32"/>
          <w:szCs w:val="32"/>
          <w:lang w:eastAsia="zh-CN"/>
          <w14:textFill>
            <w14:solidFill>
              <w14:schemeClr w14:val="tx1"/>
            </w14:solidFill>
          </w14:textFill>
        </w:rPr>
        <w:t>一线串珠作用，把分散布局连接起来，形成整体联动</w:t>
      </w:r>
      <w:r>
        <w:rPr>
          <w:rFonts w:hint="eastAsia" w:ascii="Times New Roman" w:hAnsi="Times New Roman" w:eastAsia="仿宋_GB2312" w:cs="Times New Roman"/>
          <w:color w:val="000000" w:themeColor="text1"/>
          <w:spacing w:val="0"/>
          <w:sz w:val="32"/>
          <w:szCs w:val="32"/>
          <w14:textFill>
            <w14:solidFill>
              <w14:schemeClr w14:val="tx1"/>
            </w14:solidFill>
          </w14:textFill>
        </w:rPr>
        <w:t>。</w:t>
      </w:r>
      <w:r>
        <w:rPr>
          <w:rFonts w:hint="eastAsia" w:eastAsia="仿宋_GB2312" w:cs="Times New Roman"/>
          <w:color w:val="000000" w:themeColor="text1"/>
          <w:spacing w:val="0"/>
          <w:sz w:val="32"/>
          <w:szCs w:val="32"/>
          <w:lang w:eastAsia="zh-CN"/>
          <w14:textFill>
            <w14:solidFill>
              <w14:schemeClr w14:val="tx1"/>
            </w14:solidFill>
          </w14:textFill>
        </w:rPr>
        <w:t>要鼓励民营资本进入全民健身公共服务，通过政府购买服务，限制最高票价等多种举措，不断提高健身设施的供给能力。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s="Times New Roman"/>
          <w:color w:val="000000" w:themeColor="text1"/>
          <w:spacing w:val="0"/>
          <w:sz w:val="32"/>
          <w:szCs w:val="32"/>
          <w:lang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3.坚持因地制宜提升品质。</w:t>
      </w:r>
      <w:r>
        <w:rPr>
          <w:rFonts w:hint="eastAsia" w:eastAsia="仿宋_GB2312" w:cs="Times New Roman"/>
          <w:color w:val="000000" w:themeColor="text1"/>
          <w:spacing w:val="0"/>
          <w:sz w:val="32"/>
          <w:szCs w:val="32"/>
          <w:lang w:val="en-US" w:eastAsia="zh-CN"/>
          <w14:textFill>
            <w14:solidFill>
              <w14:schemeClr w14:val="tx1"/>
            </w14:solidFill>
          </w14:textFill>
        </w:rPr>
        <w:t>要兼顾建设周期快与慢、统筹建设场地大与小，针对不同群体、不同需求、不同项目、不同时段因地制宜推进全民健身设施的建设，把规划做细、方案做精、举措做实。</w:t>
      </w:r>
      <w:r>
        <w:rPr>
          <w:rFonts w:hint="eastAsia" w:eastAsia="仿宋_GB2312" w:cs="Times New Roman"/>
          <w:color w:val="000000" w:themeColor="text1"/>
          <w:spacing w:val="0"/>
          <w:sz w:val="32"/>
          <w:szCs w:val="32"/>
          <w:lang w:eastAsia="zh-CN"/>
          <w14:textFill>
            <w14:solidFill>
              <w14:schemeClr w14:val="tx1"/>
            </w14:solidFill>
          </w14:textFill>
        </w:rPr>
        <w:t>目前我们正在从有没有向好不好转型，这就有一个供给侧结构性改革的问题，需要我们以需求端出发，因地制宜提升供给品质。要坚持全龄友好，坚持</w:t>
      </w:r>
      <w:r>
        <w:rPr>
          <w:rFonts w:hint="eastAsia" w:ascii="Times New Roman" w:hAnsi="Times New Roman" w:eastAsia="仿宋_GB2312" w:cs="Times New Roman"/>
          <w:color w:val="000000" w:themeColor="text1"/>
          <w:spacing w:val="0"/>
          <w:sz w:val="32"/>
          <w:szCs w:val="32"/>
          <w14:textFill>
            <w14:solidFill>
              <w14:schemeClr w14:val="tx1"/>
            </w14:solidFill>
          </w14:textFill>
        </w:rPr>
        <w:t>爱好从娃娃抓起，青少年活动中心等</w:t>
      </w:r>
      <w:r>
        <w:rPr>
          <w:rFonts w:hint="eastAsia" w:eastAsia="仿宋_GB2312" w:cs="Times New Roman"/>
          <w:color w:val="000000" w:themeColor="text1"/>
          <w:spacing w:val="0"/>
          <w:sz w:val="32"/>
          <w:szCs w:val="32"/>
          <w:lang w:eastAsia="zh-CN"/>
          <w14:textFill>
            <w14:solidFill>
              <w14:schemeClr w14:val="tx1"/>
            </w14:solidFill>
          </w14:textFill>
        </w:rPr>
        <w:t>公益单位</w:t>
      </w:r>
      <w:r>
        <w:rPr>
          <w:rFonts w:hint="eastAsia" w:ascii="Times New Roman" w:hAnsi="Times New Roman" w:eastAsia="仿宋_GB2312" w:cs="Times New Roman"/>
          <w:color w:val="000000" w:themeColor="text1"/>
          <w:spacing w:val="0"/>
          <w:sz w:val="32"/>
          <w:szCs w:val="32"/>
          <w14:textFill>
            <w14:solidFill>
              <w14:schemeClr w14:val="tx1"/>
            </w14:solidFill>
          </w14:textFill>
        </w:rPr>
        <w:t>要充分发挥作用，向未成年人提供适宜设施、免费或低收费开放场馆。老年人、残疾人的健身需求要高度重视，营造无障碍环境，推动全民健身全民参与</w:t>
      </w:r>
      <w:r>
        <w:rPr>
          <w:rFonts w:hint="eastAsia" w:eastAsia="仿宋_GB2312" w:cs="Times New Roman"/>
          <w:color w:val="000000" w:themeColor="text1"/>
          <w:spacing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14:textFill>
            <w14:solidFill>
              <w14:schemeClr w14:val="tx1"/>
            </w14:solidFill>
          </w14:textFill>
        </w:rPr>
        <w:t>方便并促进市民根据需求开展健身运动。</w:t>
      </w:r>
      <w:r>
        <w:rPr>
          <w:rFonts w:hint="eastAsia" w:eastAsia="仿宋_GB2312" w:cs="Times New Roman"/>
          <w:color w:val="000000" w:themeColor="text1"/>
          <w:spacing w:val="0"/>
          <w:sz w:val="32"/>
          <w:szCs w:val="32"/>
          <w:lang w:eastAsia="zh-CN"/>
          <w14:textFill>
            <w14:solidFill>
              <w14:schemeClr w14:val="tx1"/>
            </w14:solidFill>
          </w14:textFill>
        </w:rPr>
        <w:t>要从培养健身人群角度出发落实</w:t>
      </w:r>
      <w:r>
        <w:rPr>
          <w:rFonts w:hint="eastAsia" w:ascii="Times New Roman" w:hAnsi="Times New Roman" w:eastAsia="仿宋_GB2312" w:cs="Times New Roman"/>
          <w:color w:val="000000" w:themeColor="text1"/>
          <w:spacing w:val="0"/>
          <w:sz w:val="32"/>
          <w:szCs w:val="32"/>
          <w14:textFill>
            <w14:solidFill>
              <w14:schemeClr w14:val="tx1"/>
            </w14:solidFill>
          </w14:textFill>
        </w:rPr>
        <w:t>专业化健身服务区域，以满足民众日益增长的科学健身需求，积极开展全民健身活动。</w:t>
      </w:r>
      <w:r>
        <w:rPr>
          <w:rFonts w:hint="eastAsia" w:eastAsia="仿宋_GB2312" w:cs="Times New Roman"/>
          <w:color w:val="000000" w:themeColor="text1"/>
          <w:spacing w:val="0"/>
          <w:sz w:val="32"/>
          <w:szCs w:val="32"/>
          <w:lang w:eastAsia="zh-CN"/>
          <w14:textFill>
            <w14:solidFill>
              <w14:schemeClr w14:val="tx1"/>
            </w14:solidFill>
          </w14:textFill>
        </w:rPr>
        <w:t>要</w:t>
      </w:r>
      <w:r>
        <w:rPr>
          <w:rFonts w:hint="eastAsia" w:ascii="Times New Roman" w:hAnsi="Times New Roman" w:eastAsia="仿宋_GB2312" w:cs="Times New Roman"/>
          <w:color w:val="000000" w:themeColor="text1"/>
          <w:spacing w:val="0"/>
          <w:sz w:val="32"/>
          <w:szCs w:val="32"/>
          <w14:textFill>
            <w14:solidFill>
              <w14:schemeClr w14:val="tx1"/>
            </w14:solidFill>
          </w14:textFill>
        </w:rPr>
        <w:t>设立健身指导员</w:t>
      </w:r>
      <w:r>
        <w:rPr>
          <w:rFonts w:hint="eastAsia" w:eastAsia="仿宋_GB2312" w:cs="Times New Roman"/>
          <w:color w:val="000000" w:themeColor="text1"/>
          <w:spacing w:val="0"/>
          <w:sz w:val="32"/>
          <w:szCs w:val="32"/>
          <w:lang w:eastAsia="zh-CN"/>
          <w14:textFill>
            <w14:solidFill>
              <w14:schemeClr w14:val="tx1"/>
            </w14:solidFill>
          </w14:textFill>
        </w:rPr>
        <w:t>制度，进社区、进工厂、进学校</w:t>
      </w:r>
      <w:r>
        <w:rPr>
          <w:rFonts w:hint="eastAsia" w:ascii="Times New Roman" w:hAnsi="Times New Roman" w:eastAsia="仿宋_GB2312" w:cs="Times New Roman"/>
          <w:color w:val="000000" w:themeColor="text1"/>
          <w:spacing w:val="0"/>
          <w:sz w:val="32"/>
          <w:szCs w:val="32"/>
          <w14:textFill>
            <w14:solidFill>
              <w14:schemeClr w14:val="tx1"/>
            </w14:solidFill>
          </w14:textFill>
        </w:rPr>
        <w:t>开展巡回科学健身讲座，普及健身常识，增强群众健身意识</w:t>
      </w:r>
      <w:r>
        <w:rPr>
          <w:rFonts w:hint="eastAsia" w:eastAsia="仿宋_GB2312" w:cs="Times New Roman"/>
          <w:color w:val="000000" w:themeColor="text1"/>
          <w:spacing w:val="0"/>
          <w:sz w:val="32"/>
          <w:szCs w:val="32"/>
          <w:lang w:eastAsia="zh-CN"/>
          <w14:textFill>
            <w14:solidFill>
              <w14:schemeClr w14:val="tx1"/>
            </w14:solidFill>
          </w14:textFill>
        </w:rPr>
        <w:t>，从而在全社会树立起良好体魄从健身开始，高品质生活从健身起步的鲜明导向。</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r>
        <w:rPr>
          <w:rFonts w:hint="default" w:ascii="Times New Roman" w:hAnsi="Times New Roman"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全面融入大武汉  建设车谷大走廊</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长</w:t>
      </w:r>
      <w:r>
        <w:rPr>
          <w:rFonts w:hint="eastAsia" w:ascii="楷体" w:hAnsi="楷体" w:eastAsia="楷体" w:cs="楷体"/>
          <w:b/>
          <w:caps w:val="0"/>
          <w:color w:val="000000" w:themeColor="text1"/>
          <w:spacing w:val="0"/>
          <w:sz w:val="32"/>
          <w:szCs w:val="32"/>
          <w:lang w:val="en-US" w:eastAsia="zh-CN" w:bidi="ar-SA"/>
          <w14:textFill>
            <w14:solidFill>
              <w14:schemeClr w14:val="tx1"/>
            </w14:solidFill>
          </w14:textFill>
        </w:rPr>
        <w:t>埫</w:t>
      </w: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口委员组  沈成</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lang w:val="en-US" w:eastAsia="zh-CN"/>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进入新发展阶段，省委省政府提出构建“一主引领、两翼驱动、全域协同”区域发展布局，省第十二次党代会明确，大力发展以武鄂黄黄为核心的武汉都市圈，“打造车谷产业创新大走廊”是其中重要的抓手和平台，这为长</w:t>
      </w:r>
      <w:r>
        <w:rPr>
          <w:rFonts w:hint="eastAsia" w:ascii="仿宋" w:hAnsi="仿宋" w:eastAsia="仿宋" w:cs="仿宋"/>
          <w:color w:val="000000" w:themeColor="text1"/>
          <w:spacing w:val="0"/>
          <w:sz w:val="32"/>
          <w:szCs w:val="32"/>
          <w:lang w:val="en-US" w:eastAsia="zh-CN"/>
          <w14:textFill>
            <w14:solidFill>
              <w14:schemeClr w14:val="tx1"/>
            </w14:solidFill>
          </w14:textFill>
        </w:rPr>
        <w:t>埫</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口作为武仙同城化发展的桥头堡，全面对接融入大武</w:t>
      </w:r>
      <w:bookmarkStart w:id="22" w:name="_GoBack"/>
      <w:bookmarkEnd w:id="22"/>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汉，建设车谷副城大走廊带来重大历史机遇。</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汽车零部件产业是湖北省万亿级支柱产业的发展重点，省“十四五”规划建议提出发挥汽车整车产能和零部件配套优势打造“万亿级汽车产业集群”。2021年，武汉经开区汽车及零部件产业累计实现产值2155.1亿元，占全区规上工业总产值的71.1%；汽车总产量94.3万辆，占湖北省汽车产量的44%，占武汉市的68%。</w:t>
      </w:r>
      <w:r>
        <w:rPr>
          <w:rFonts w:hint="eastAsia" w:ascii="仿宋_GB2312" w:hAnsi="仿宋_GB2312" w:eastAsia="仿宋_GB2312" w:cs="仿宋_GB2312"/>
          <w:color w:val="000000" w:themeColor="text1"/>
          <w:spacing w:val="0"/>
          <w:sz w:val="32"/>
          <w:szCs w:val="32"/>
          <w14:textFill>
            <w14:solidFill>
              <w14:schemeClr w14:val="tx1"/>
            </w14:solidFill>
          </w14:textFill>
        </w:rPr>
        <w:t>近年来，</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我市</w:t>
      </w:r>
      <w:r>
        <w:rPr>
          <w:rFonts w:hint="eastAsia" w:ascii="仿宋_GB2312" w:hAnsi="仿宋_GB2312" w:eastAsia="仿宋_GB2312" w:cs="仿宋_GB2312"/>
          <w:color w:val="000000" w:themeColor="text1"/>
          <w:spacing w:val="0"/>
          <w:sz w:val="32"/>
          <w:szCs w:val="32"/>
          <w14:textFill>
            <w14:solidFill>
              <w14:schemeClr w14:val="tx1"/>
            </w14:solidFill>
          </w14:textFill>
        </w:rPr>
        <w:t>装备制造和汽车零部件产业保持高速发展</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重点企业有摩擦一号、日本京滨、法国百炼、台湾富士和、六和金属等，形成了高档数控机床、基础制造装备、电子电路等30多个产业链，主导产品全国市场占有率超过90%，两地产业对接协同发展有基础。长</w:t>
      </w:r>
      <w:r>
        <w:rPr>
          <w:rFonts w:hint="eastAsia" w:ascii="仿宋" w:hAnsi="仿宋" w:eastAsia="仿宋" w:cs="仿宋"/>
          <w:color w:val="000000" w:themeColor="text1"/>
          <w:spacing w:val="0"/>
          <w:sz w:val="32"/>
          <w:szCs w:val="32"/>
          <w:lang w:val="en-US" w:eastAsia="zh-CN"/>
          <w14:textFill>
            <w14:solidFill>
              <w14:schemeClr w14:val="tx1"/>
            </w14:solidFill>
          </w14:textFill>
        </w:rPr>
        <w:t>埫</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口东临武汉，接壤地区距离武汉开发区35公里左右，沪渝高速、孝仙嘉高速、318国道贯穿全境，货运铁路、城际铁路、国网机场、汉江仙桃港集聚于此，距离武汉开发区、天河机场、汉口火车站、长江武汉港“一小时经济圈”，仙桃国家级高新区、保税物流中心（B型）等布局于此，正在加快申报建设综合保税区。同时长</w:t>
      </w:r>
      <w:r>
        <w:rPr>
          <w:rFonts w:hint="eastAsia" w:ascii="仿宋" w:hAnsi="仿宋" w:eastAsia="仿宋" w:cs="仿宋"/>
          <w:color w:val="000000" w:themeColor="text1"/>
          <w:spacing w:val="0"/>
          <w:sz w:val="32"/>
          <w:szCs w:val="32"/>
          <w:lang w:val="en-US" w:eastAsia="zh-CN"/>
          <w14:textFill>
            <w14:solidFill>
              <w14:schemeClr w14:val="tx1"/>
            </w14:solidFill>
          </w14:textFill>
        </w:rPr>
        <w:t>埫</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口北依千里汉江，坐拥央企华润，水电等能源充足，其中华润电力一期已竣工投产，年发电约59亿度，供热能力约200吨/时，交通区位优势、能源保障优势十分明显。长</w:t>
      </w:r>
      <w:r>
        <w:rPr>
          <w:rFonts w:hint="eastAsia" w:ascii="仿宋" w:hAnsi="仿宋" w:eastAsia="仿宋" w:cs="仿宋"/>
          <w:color w:val="000000" w:themeColor="text1"/>
          <w:spacing w:val="0"/>
          <w:sz w:val="32"/>
          <w:szCs w:val="32"/>
          <w:lang w:val="en-US" w:eastAsia="zh-CN"/>
          <w14:textFill>
            <w14:solidFill>
              <w14:schemeClr w14:val="tx1"/>
            </w14:solidFill>
          </w14:textFill>
        </w:rPr>
        <w:t>埫</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口全面对接融入大武汉，建设车谷副城大走廊顺应了天时、地利、人和。因此建议：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1.基础设施相连相通。</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加快推动地铁10号线、武汉至松滋高速仙桃段、沪渝高速仙桃段改扩建、318国道仙桃至蔡甸改线、仙桃通用机场升级、沪渝高速太洪互通等重大项目建设，推动仙桃“公铁水空”内联外接，力争2年内构建武仙“半小时通勤圈”。</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2.产业发展互补互促。</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学习借鉴广佛“交通一体化”带动“产业大走廊”的经验，布局318国道长</w:t>
      </w:r>
      <w:r>
        <w:rPr>
          <w:rFonts w:hint="eastAsia" w:ascii="仿宋" w:hAnsi="仿宋" w:eastAsia="仿宋" w:cs="仿宋"/>
          <w:color w:val="000000" w:themeColor="text1"/>
          <w:spacing w:val="0"/>
          <w:sz w:val="32"/>
          <w:szCs w:val="32"/>
          <w:lang w:val="en-US" w:eastAsia="zh-CN"/>
          <w14:textFill>
            <w14:solidFill>
              <w14:schemeClr w14:val="tx1"/>
            </w14:solidFill>
          </w14:textFill>
        </w:rPr>
        <w:t>埫</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口镇周帮至敦厚段6公里，抢抓318国道拓宽契机，两侧各预留1公里，形成两条9000亩建设用地的产业带，建设车谷副城大走廊。一是全市新招引的汽车零部件项目优先落户；二是沿海和武汉经开区产业转移优先承接；三是充分发挥长</w:t>
      </w:r>
      <w:r>
        <w:rPr>
          <w:rFonts w:hint="eastAsia" w:ascii="仿宋" w:hAnsi="仿宋" w:eastAsia="仿宋" w:cs="仿宋"/>
          <w:color w:val="000000" w:themeColor="text1"/>
          <w:spacing w:val="0"/>
          <w:sz w:val="32"/>
          <w:szCs w:val="32"/>
          <w:lang w:val="en-US" w:eastAsia="zh-CN"/>
          <w14:textFill>
            <w14:solidFill>
              <w14:schemeClr w14:val="tx1"/>
            </w14:solidFill>
          </w14:textFill>
        </w:rPr>
        <w:t>埫</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口镇非织造布、新材料、新能源、锂电池、热能等配套产业比较优势，逐步做强汽车全产业链。</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3.产业用地节约集约。</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经测算，双向6*1公里产业带约占地18000亩。按照武汉开发区每平方公里创工业产值25亿元、利税2亿元的标准测算，318国道沿线“车谷副城大走廊”一期若开发单向6平方公里，成熟期预计可创工业产值150亿元、利税12亿元以上。建议市委市政府登高谋远，相关部门加快规划、勘测、设计，同步推进用地性质调规，增加项目用地储备，为项目落地做好准备。同时，必须坚持节约集约原则，优化布局、规划控地，引农进城、转移流地，社区集中、迁村腾地，企业进园、集约用地，盘活存量、高效省地，严控增量、科学供地，绿色发展、生态润地，全面节约集约高效利用国土资源。</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4.科技创新共建共享。</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积极争取省委省政府整合武汉理工大学、湖北汽车工业学院等汽车学院、科研院所专业力量，科学选址长</w:t>
      </w:r>
      <w:r>
        <w:rPr>
          <w:rFonts w:hint="eastAsia" w:ascii="仿宋" w:hAnsi="仿宋" w:eastAsia="仿宋" w:cs="仿宋"/>
          <w:color w:val="000000" w:themeColor="text1"/>
          <w:spacing w:val="0"/>
          <w:sz w:val="32"/>
          <w:szCs w:val="32"/>
          <w:lang w:val="en-US" w:eastAsia="zh-CN"/>
          <w14:textFill>
            <w14:solidFill>
              <w14:schemeClr w14:val="tx1"/>
            </w14:solidFill>
          </w14:textFill>
        </w:rPr>
        <w:t>埫</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口镇高标准建设“湖北汽车大学”，订单式培养汽车行业全链条专业技术人才，提升科技创新核心竞争力</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5.生态环境联防联治。</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江汉平原河湖密布，人口稠密，既是湖北粮仓，也是武汉上游生态屏障。恳请市委市政府加强区域生态治理的顶层设计，以跨市流域生态修复与综合整治示范工程为抓手，推动通顺河、东荆河、沙湖湿地等水系连通、生态同修，构建流域跨界生态治理联防联控联治机制。</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大标宋简体"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楷体_GB2312" w:cs="Times New Roman"/>
          <w:color w:val="000000" w:themeColor="text1"/>
          <w:spacing w:val="0"/>
          <w:sz w:val="32"/>
          <w:szCs w:val="32"/>
          <w14:textFill>
            <w14:solidFill>
              <w14:schemeClr w14:val="tx1"/>
            </w14:solidFill>
          </w14:textFill>
        </w:rPr>
      </w:pPr>
      <w:r>
        <w:rPr>
          <w:rFonts w:hint="default" w:ascii="Times New Roman" w:hAnsi="Times New Roman" w:eastAsia="楷体_GB2312" w:cs="Times New Roman"/>
          <w:color w:val="000000" w:themeColor="text1"/>
          <w:spacing w:val="0"/>
          <w:sz w:val="32"/>
          <w:szCs w:val="32"/>
          <w14:textFill>
            <w14:solidFill>
              <w14:schemeClr w14:val="tx1"/>
            </w14:solidFill>
          </w14:textFill>
        </w:rPr>
        <w:br w:type="page"/>
      </w:r>
    </w:p>
    <w:p>
      <w:pPr>
        <w:pStyle w:val="7"/>
        <w:keepNext w:val="0"/>
        <w:keepLines w:val="0"/>
        <w:pageBreakBefore w:val="0"/>
        <w:widowControl w:val="0"/>
        <w:shd w:val="clear"/>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11"/>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11"/>
          <w:sz w:val="44"/>
          <w:szCs w:val="44"/>
          <w:lang w:val="en-US" w:eastAsia="zh-CN" w:bidi="ar-SA"/>
          <w14:textFill>
            <w14:solidFill>
              <w14:schemeClr w14:val="tx1"/>
            </w14:solidFill>
          </w14:textFill>
        </w:rPr>
        <w:t>文明创建要彻底改变“干部干、群众看”现象</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——关于运用共同缔造理念，推进文明城市创建的建议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宣传委员组  李</w:t>
      </w:r>
      <w:r>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炎</w:t>
      </w: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焱</w:t>
      </w:r>
    </w:p>
    <w:p>
      <w:pPr>
        <w:keepNext w:val="0"/>
        <w:keepLines w:val="0"/>
        <w:pageBreakBefore w:val="0"/>
        <w:widowControl w:val="0"/>
        <w:shd w:val="clear"/>
        <w:kinsoku/>
        <w:wordWrap/>
        <w:overflowPunct/>
        <w:topLinePunct w:val="0"/>
        <w:autoSpaceDE/>
        <w:autoSpaceDN/>
        <w:bidi w:val="0"/>
        <w:adjustRightInd/>
        <w:snapToGrid/>
        <w:spacing w:before="0" w:after="0"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以往文明城市创建工作大多以行政手段推进，以任务清单落实，更多考虑到的是目标的实现和任务的完成，而忽视了发动群众参与。正是因为缺少群众的参与和支持，在城市基础设施建设、环境卫生保洁、交通秩序维护等诸多方面，目标短期实现后便出现反复，很多事情都是反复做、做反复。究其根本原因是群众参与度不够、认识度不高、认同度不深，群众对城市</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建设管理</w:t>
      </w:r>
      <w:r>
        <w:rPr>
          <w:rFonts w:hint="eastAsia" w:ascii="仿宋_GB2312" w:hAnsi="仿宋_GB2312" w:eastAsia="仿宋_GB2312" w:cs="仿宋_GB2312"/>
          <w:color w:val="000000" w:themeColor="text1"/>
          <w:spacing w:val="0"/>
          <w:sz w:val="32"/>
          <w:szCs w:val="32"/>
          <w14:textFill>
            <w14:solidFill>
              <w14:schemeClr w14:val="tx1"/>
            </w14:solidFill>
          </w14:textFill>
        </w:rPr>
        <w:t>的认知与政府推进这项工作的目的存在差异，导致任务推进过程中出现“干部干</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群众看”两张皮现象。例如，我们的干部在文明交通劝导志愿服务过程中，出现最多的一幕是引导群众杜绝逆向行驶，听到的最多的回怼是“关你什么事啊，我不从这边走，又得绕好大一圈”。又如，在“六联六包”入户宣传过程中，询问群众“您对我市开展文明城市创建活动了解吗”，得到最多的回答是“又不关我的事，不晓得”。省委提出的共同缔造理念，为我们打开了思路的窗口，为我们从根本上解决“干部干，群众看”指明了路径、找到了方法，我们要运用共同缔造理念，来推进文明城市创建任务落实落地，以实现常态长效，只有群众参与和支持才能实现春风化雨、润物无声效果，达到长期可持续目的。为</w:t>
      </w:r>
      <w:r>
        <w:rPr>
          <w:rFonts w:hint="default" w:ascii="Times New Roman" w:hAnsi="Times New Roman" w:eastAsia="仿宋_GB2312" w:cs="Times New Roman"/>
          <w:color w:val="000000" w:themeColor="text1"/>
          <w:spacing w:val="0"/>
          <w:sz w:val="32"/>
          <w:szCs w:val="32"/>
          <w14:textFill>
            <w14:solidFill>
              <w14:schemeClr w14:val="tx1"/>
            </w14:solidFill>
          </w14:textFill>
        </w:rPr>
        <w:t>此，我们建议：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1.汇民智，共谋创建</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良</w:t>
      </w:r>
      <w:r>
        <w:rPr>
          <w:rFonts w:hint="default" w:ascii="楷体_GB2312" w:hAnsi="楷体_GB2312" w:eastAsia="楷体_GB2312" w:cs="楷体_GB2312"/>
          <w:color w:val="000000" w:themeColor="text1"/>
          <w:sz w:val="32"/>
          <w:szCs w:val="32"/>
          <w:lang w:val="en-US" w:eastAsia="zh-CN"/>
          <w14:textFill>
            <w14:solidFill>
              <w14:schemeClr w14:val="tx1"/>
            </w14:solidFill>
          </w14:textFill>
        </w:rPr>
        <w:t>策。</w:t>
      </w:r>
      <w:r>
        <w:rPr>
          <w:rFonts w:hint="eastAsia" w:ascii="仿宋_GB2312" w:hAnsi="仿宋_GB2312" w:eastAsia="仿宋_GB2312" w:cs="仿宋_GB2312"/>
          <w:color w:val="000000" w:themeColor="text1"/>
          <w:spacing w:val="0"/>
          <w:sz w:val="32"/>
          <w:szCs w:val="32"/>
          <w14:textFill>
            <w14:solidFill>
              <w14:schemeClr w14:val="tx1"/>
            </w14:solidFill>
          </w14:textFill>
        </w:rPr>
        <w:t>市民是创建的主体。要把群众请进来，充分发挥群众主体作用，通过深化“六联六包”，设置网络意见征集箱，结合“共同缔造”系列活动，架起政府与群众共谋共创的“连心桥”，让群众真正参与到协商中。同时，通过群众共谋，找到文明城市创建的工作重点，以群众确定的工作重点引导群众积极参与其中，推进创建工作逐步向前。</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2.聚民力，共建文明城市。</w:t>
      </w:r>
      <w:r>
        <w:rPr>
          <w:rFonts w:hint="eastAsia" w:ascii="仿宋_GB2312" w:hAnsi="仿宋_GB2312" w:eastAsia="仿宋_GB2312" w:cs="仿宋_GB2312"/>
          <w:color w:val="000000" w:themeColor="text1"/>
          <w:spacing w:val="0"/>
          <w:sz w:val="32"/>
          <w:szCs w:val="32"/>
          <w14:textFill>
            <w14:solidFill>
              <w14:schemeClr w14:val="tx1"/>
            </w14:solidFill>
          </w14:textFill>
        </w:rPr>
        <w:t>人民城市人民建。要积极发挥社会主观能动性，集聚各方力量共建美好家园，聚焦群众期盼高、呼声大、感触深的道路交通、地下管网等身边事，发动群众出资出力、投工投劳，只有群众倾注心血，才会像爱护自己眼睛一样爱护大家共建的美丽城市，彻底改变群众以往“事不关己，高高挂起”的状态，形成自我维护、自觉维护，把游园当自己的客厅，把街道当自己的楼道。</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3.凝民心，共管幸福家园。</w:t>
      </w:r>
      <w:r>
        <w:rPr>
          <w:rFonts w:hint="eastAsia" w:ascii="仿宋_GB2312" w:hAnsi="仿宋_GB2312" w:eastAsia="仿宋_GB2312" w:cs="仿宋_GB2312"/>
          <w:color w:val="000000" w:themeColor="text1"/>
          <w:spacing w:val="0"/>
          <w:sz w:val="32"/>
          <w:szCs w:val="32"/>
          <w14:textFill>
            <w14:solidFill>
              <w14:schemeClr w14:val="tx1"/>
            </w14:solidFill>
          </w14:textFill>
        </w:rPr>
        <w:t>创建全国文明城市是一项群众性、社会性很强的工作,需要社会各界的广泛参与。要持续深入开展“小手拉大手·文明一起走”活动，积极引导群众以大社会大物业为载体，参与到卫生保洁、安全维护、疫情防控、矛盾调处等事关自己生活质量的事情中来，通过群众自愿参与的值班值守和“全民随手拍”活动，为每一个小区打造冲不垮、拖不烂、流不走的志愿者队伍，切实落实自己的事情自己干。</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4.集民意，共评创建效果。</w:t>
      </w:r>
      <w:r>
        <w:rPr>
          <w:rFonts w:hint="default" w:ascii="Times New Roman" w:hAnsi="Times New Roman" w:eastAsia="仿宋_GB2312" w:cs="Times New Roman"/>
          <w:color w:val="000000" w:themeColor="text1"/>
          <w:spacing w:val="0"/>
          <w:sz w:val="32"/>
          <w:szCs w:val="32"/>
          <w14:textFill>
            <w14:solidFill>
              <w14:schemeClr w14:val="tx1"/>
            </w14:solidFill>
          </w14:textFill>
        </w:rPr>
        <w:t>群众满意不满意是衡量文明城市创建成效的根本标尺。一方面，畅通群众评价渠道，对政府职能部门履职行为实行社会面共评，把部门评价的话语权交给群众，共评职能部门工作质量的好坏，而不是通过突击检查来落实各个部门的工作，避免缺位失位</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怠政懒政的现象发生。另一方面，加强文明行为引导，以小区、居民楼为基本单位，以街巷长、楼栋长制为重要载体，对居民的日常行为规范、参与创建活动，以星级标准评价小区、家庭、个人，树立正确的荣辱观、是非观，形成良好的社会风向和导向。</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5.惠民生，共享创建成果。</w:t>
      </w:r>
      <w:r>
        <w:rPr>
          <w:rFonts w:hint="default" w:ascii="Times New Roman" w:hAnsi="Times New Roman" w:eastAsia="仿宋_GB2312" w:cs="Times New Roman"/>
          <w:color w:val="000000" w:themeColor="text1"/>
          <w:spacing w:val="0"/>
          <w:sz w:val="32"/>
          <w:szCs w:val="32"/>
          <w14:textFill>
            <w14:solidFill>
              <w14:schemeClr w14:val="tx1"/>
            </w14:solidFill>
          </w14:textFill>
        </w:rPr>
        <w:t>文明城市创建是一项民生工程，落脚点就是实现群众利益、满足群众需求。要把文明城市创建工作导向、政府管理优质化与群众的宜居度、幸福感、获得感、安全感协调统一起来，把群众满不满意</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高不高兴</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认不认可作为创建的最高标准，进一步补齐城市短板，完善基础设施，整治环境卫生，治理城市顽疾，以更高的城市颜值、城市品质，推动城市创建向深处走</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向实处走</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向群众心里走。</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r>
        <w:rPr>
          <w:rFonts w:hint="default" w:ascii="Times New Roman" w:hAnsi="Times New Roman"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富民必须强村</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——关于促进村集体经济发展的建议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杨林尾委员组  王思文</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b/>
          <w:bCs/>
          <w:color w:val="000000" w:themeColor="text1"/>
          <w:spacing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产业兴旺是乡村振兴的重要基础</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是实现农业现代化，加快建设四化同步发展示范区的内在要求。以产业兴旺为着力点，有利于增强乡村对人才的吸附力，激活农村内生动力，更好实现乡村振兴各项愿景。要实现产业兴旺，就必须以壮大集体经济为主要抓手，农村集体经济作为乡村振兴的压舱石，一方面它有引导效应和聚集效应，另一方面它有组织功能和协调功能</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农村集体经济的壮大，可以有效解决乡村建设缺钱、乡村治理缺位的问题。抓好、抓紧、抓快集体经济发展有利于夯实农民共同富裕的根基，因此富民必须强村。</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但长期以来，受多种因素影响，我市村集体经济发展仍然处于摸索和起步阶段，对推动农业现代化助力不够，实现农民共同富裕成效不彰。</w:t>
      </w:r>
      <w:r>
        <w:rPr>
          <w:rFonts w:hint="eastAsia" w:ascii="Times New Roman" w:hAnsi="Times New Roman" w:eastAsia="仿宋_GB2312" w:cs="Times New Roman"/>
          <w:b/>
          <w:bCs/>
          <w:color w:val="000000" w:themeColor="text1"/>
          <w:spacing w:val="0"/>
          <w:sz w:val="32"/>
          <w:szCs w:val="32"/>
          <w:lang w:eastAsia="zh-CN"/>
          <w14:textFill>
            <w14:solidFill>
              <w14:schemeClr w14:val="tx1"/>
            </w14:solidFill>
          </w14:textFill>
        </w:rPr>
        <w:t>一是</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思路不清，缺乏发展定位。</w:t>
      </w:r>
      <w:r>
        <w:rPr>
          <w:rFonts w:hint="default" w:ascii="Times New Roman" w:hAnsi="Times New Roman" w:eastAsia="仿宋_GB2312" w:cs="Times New Roman"/>
          <w:color w:val="000000" w:themeColor="text1"/>
          <w:spacing w:val="0"/>
          <w:sz w:val="32"/>
          <w:szCs w:val="32"/>
          <w14:textFill>
            <w14:solidFill>
              <w14:schemeClr w14:val="tx1"/>
            </w14:solidFill>
          </w14:textFill>
        </w:rPr>
        <w:t>少数村干部对村集体经济发展认识不足、思路不清、家底不熟、主动性不强，无法适应新形势、新任务的要求，导致村集体经济未能真正形成，或者发展小而散。</w:t>
      </w:r>
      <w:r>
        <w:rPr>
          <w:rFonts w:hint="eastAsia" w:ascii="Times New Roman" w:hAnsi="Times New Roman" w:eastAsia="仿宋_GB2312" w:cs="Times New Roman"/>
          <w:b/>
          <w:bCs/>
          <w:color w:val="000000" w:themeColor="text1"/>
          <w:spacing w:val="0"/>
          <w:sz w:val="32"/>
          <w:szCs w:val="32"/>
          <w:lang w:eastAsia="zh-CN"/>
          <w14:textFill>
            <w14:solidFill>
              <w14:schemeClr w14:val="tx1"/>
            </w14:solidFill>
          </w14:textFill>
        </w:rPr>
        <w:t>二是</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底子不厚，先天禀赋薄弱。</w:t>
      </w:r>
      <w:r>
        <w:rPr>
          <w:rFonts w:hint="default" w:ascii="Times New Roman" w:hAnsi="Times New Roman" w:eastAsia="仿宋_GB2312" w:cs="Times New Roman"/>
          <w:color w:val="000000" w:themeColor="text1"/>
          <w:spacing w:val="0"/>
          <w:sz w:val="32"/>
          <w:szCs w:val="32"/>
          <w14:textFill>
            <w14:solidFill>
              <w14:schemeClr w14:val="tx1"/>
            </w14:solidFill>
          </w14:textFill>
        </w:rPr>
        <w:t>农村远离中心城区，先天条件有限，集体资源不多、资金不足、资产不活</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政策不够，导致集体经济发展空间狭小，后劲乏力</w:t>
      </w:r>
      <w:r>
        <w:rPr>
          <w:rFonts w:hint="default" w:ascii="Times New Roman" w:hAnsi="Times New Roman" w:eastAsia="楷体_GB2312" w:cs="Times New Roman"/>
          <w:color w:val="000000" w:themeColor="text1"/>
          <w:spacing w:val="0"/>
          <w:sz w:val="32"/>
          <w:szCs w:val="32"/>
          <w14:textFill>
            <w14:solidFill>
              <w14:schemeClr w14:val="tx1"/>
            </w14:solidFill>
          </w14:textFill>
        </w:rPr>
        <w:t>。</w:t>
      </w:r>
      <w:r>
        <w:rPr>
          <w:rFonts w:hint="eastAsia" w:ascii="Times New Roman" w:hAnsi="Times New Roman" w:eastAsia="仿宋_GB2312" w:cs="Times New Roman"/>
          <w:b/>
          <w:bCs/>
          <w:color w:val="000000" w:themeColor="text1"/>
          <w:spacing w:val="0"/>
          <w:sz w:val="32"/>
          <w:szCs w:val="32"/>
          <w:lang w:eastAsia="zh-CN"/>
          <w14:textFill>
            <w14:solidFill>
              <w14:schemeClr w14:val="tx1"/>
            </w14:solidFill>
          </w14:textFill>
        </w:rPr>
        <w:t>三是</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带动不强，发展形式落后。</w:t>
      </w:r>
      <w:r>
        <w:rPr>
          <w:rFonts w:hint="default" w:ascii="Times New Roman" w:hAnsi="Times New Roman" w:eastAsia="仿宋_GB2312" w:cs="Times New Roman"/>
          <w:color w:val="000000" w:themeColor="text1"/>
          <w:spacing w:val="0"/>
          <w:sz w:val="32"/>
          <w:szCs w:val="32"/>
          <w14:textFill>
            <w14:solidFill>
              <w14:schemeClr w14:val="tx1"/>
            </w14:solidFill>
          </w14:textFill>
        </w:rPr>
        <w:t>村集体经济发展经常形成单打独斗的局面，产业带动性不强，带动方式不科学，群众参与度不高，“两委干、村民看”的现象明显，带动效益也不突出，群众受益程度不高。为此，我建议：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1.党建引领，选好发展领头雁。</w:t>
      </w:r>
      <w:r>
        <w:rPr>
          <w:rFonts w:hint="default" w:ascii="Times New Roman" w:hAnsi="Times New Roman" w:eastAsia="仿宋_GB2312" w:cs="Times New Roman"/>
          <w:color w:val="000000" w:themeColor="text1"/>
          <w:spacing w:val="0"/>
          <w:sz w:val="32"/>
          <w:szCs w:val="32"/>
          <w14:textFill>
            <w14:solidFill>
              <w14:schemeClr w14:val="tx1"/>
            </w14:solidFill>
          </w14:textFill>
        </w:rPr>
        <w:t>在党委统一领导下，抓好做实基层党建工作，充分发挥基层党组织的战斗堡垒作用，进一步提高群众对村两委的信任度，形成向心力。同时，要选好村级带头人，建好先锋队，进一步挖掘政治站位高</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思想觉悟高</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能力水平高的乡贤能人进入到村两委班子</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特别是在村主要负责人的选配上，要尤其注重创新发展能力和致富带动能力，从而实现让有志于深耕乡村、干事创业的能人，成为发展村集体经济的掌舵人。</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2.聚集资源，唱好助力合奏曲。</w:t>
      </w:r>
      <w:r>
        <w:rPr>
          <w:rFonts w:hint="default" w:ascii="Times New Roman" w:hAnsi="Times New Roman" w:eastAsia="仿宋_GB2312" w:cs="Times New Roman"/>
          <w:color w:val="000000" w:themeColor="text1"/>
          <w:spacing w:val="0"/>
          <w:sz w:val="32"/>
          <w:szCs w:val="32"/>
          <w14:textFill>
            <w14:solidFill>
              <w14:schemeClr w14:val="tx1"/>
            </w14:solidFill>
          </w14:textFill>
        </w:rPr>
        <w:t>管理部门、金融机构要加大对村集体经济项目的支持，在税务、土地、融资等方面给予政策倾斜，合理安排政府奖补资金予以鼓励引导，合法合规制定“非农化”“非粮化”小微问题容错清单。同时，村集体经济发展要充分遵循市场经济规律，要把社会资本引入村集体经济发展中来，为集体经济发展壮大，迎来源头活水，构建“龙头企业+合作社+基地+农户”模式，实现合作共赢。杜绝</w:t>
      </w:r>
      <w:r>
        <w:rPr>
          <w:rFonts w:hint="eastAsia" w:eastAsia="仿宋_GB2312" w:cs="Times New Roman"/>
          <w:color w:val="000000" w:themeColor="text1"/>
          <w:spacing w:val="0"/>
          <w:sz w:val="32"/>
          <w:szCs w:val="32"/>
          <w:lang w:eastAsia="zh-CN"/>
          <w14:textFill>
            <w14:solidFill>
              <w14:schemeClr w14:val="tx1"/>
            </w14:solidFill>
          </w14:textFill>
        </w:rPr>
        <w:t>形式</w:t>
      </w:r>
      <w:r>
        <w:rPr>
          <w:rFonts w:hint="default" w:ascii="Times New Roman" w:hAnsi="Times New Roman" w:eastAsia="仿宋_GB2312" w:cs="Times New Roman"/>
          <w:color w:val="000000" w:themeColor="text1"/>
          <w:spacing w:val="0"/>
          <w:sz w:val="32"/>
          <w:szCs w:val="32"/>
          <w14:textFill>
            <w14:solidFill>
              <w14:schemeClr w14:val="tx1"/>
            </w14:solidFill>
          </w14:textFill>
        </w:rPr>
        <w:t>简单的“资源换租金”模式，即：“把企业招进来，土地租出去，农民外出打工”的情形，导致集体经济发展与村民致富“两张皮”的现象，要创新运用好厂房式、居家式、基地式、融合式车间发展模式，把村民变社员，实现资源整合与普惠性“双重奏”。</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eastAsia="zh-CN"/>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3.多措并举，画好致富同心圆。</w:t>
      </w:r>
      <w:r>
        <w:rPr>
          <w:rFonts w:hint="default" w:ascii="Times New Roman" w:hAnsi="Times New Roman" w:eastAsia="仿宋_GB2312" w:cs="Times New Roman"/>
          <w:color w:val="000000" w:themeColor="text1"/>
          <w:spacing w:val="0"/>
          <w:sz w:val="32"/>
          <w:szCs w:val="32"/>
          <w14:textFill>
            <w14:solidFill>
              <w14:schemeClr w14:val="tx1"/>
            </w14:solidFill>
          </w14:textFill>
        </w:rPr>
        <w:t>集体经济作为带动乡村经济发展的火车头，最终目的是回馈村集体、惠及村民，收益与积累是用于发展生产</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改善生活，最终的落脚点还是为实现农民生活向更好转变。因此，</w:t>
      </w:r>
      <w:r>
        <w:rPr>
          <w:rFonts w:hint="eastAsia" w:eastAsia="仿宋_GB2312" w:cs="Times New Roman"/>
          <w:color w:val="000000" w:themeColor="text1"/>
          <w:spacing w:val="0"/>
          <w:sz w:val="32"/>
          <w:szCs w:val="32"/>
          <w:lang w:eastAsia="zh-CN"/>
          <w14:textFill>
            <w14:solidFill>
              <w14:schemeClr w14:val="tx1"/>
            </w14:solidFill>
          </w14:textFill>
        </w:rPr>
        <w:t>村</w:t>
      </w:r>
      <w:r>
        <w:rPr>
          <w:rFonts w:hint="default" w:ascii="Times New Roman" w:hAnsi="Times New Roman" w:eastAsia="仿宋_GB2312" w:cs="Times New Roman"/>
          <w:color w:val="000000" w:themeColor="text1"/>
          <w:spacing w:val="0"/>
          <w:sz w:val="32"/>
          <w:szCs w:val="32"/>
          <w14:textFill>
            <w14:solidFill>
              <w14:schemeClr w14:val="tx1"/>
            </w14:solidFill>
          </w14:textFill>
        </w:rPr>
        <w:t>集体经济发展一切要以发展获益为衡量标准。</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一是</w:t>
      </w:r>
      <w:r>
        <w:rPr>
          <w:rFonts w:hint="default" w:ascii="Times New Roman" w:hAnsi="Times New Roman" w:eastAsia="仿宋_GB2312" w:cs="Times New Roman"/>
          <w:color w:val="000000" w:themeColor="text1"/>
          <w:spacing w:val="0"/>
          <w:sz w:val="32"/>
          <w:szCs w:val="32"/>
          <w14:textFill>
            <w14:solidFill>
              <w14:schemeClr w14:val="tx1"/>
            </w14:solidFill>
          </w14:textFill>
        </w:rPr>
        <w:t>要发挥村级自身优势，不盲目扩张，不贪大喜功，因地制宜，量体裁衣，激活村集体经济组织发展活力，加强农村集体资产管理和运营，整合盘活农村各项资源要素，一村一策，实现小步快跑推动集体经济</w:t>
      </w:r>
      <w:r>
        <w:rPr>
          <w:rFonts w:hint="eastAsia" w:eastAsia="仿宋_GB2312" w:cs="Times New Roman"/>
          <w:color w:val="000000" w:themeColor="text1"/>
          <w:spacing w:val="0"/>
          <w:sz w:val="32"/>
          <w:szCs w:val="32"/>
          <w:lang w:eastAsia="zh-CN"/>
          <w14:textFill>
            <w14:solidFill>
              <w14:schemeClr w14:val="tx1"/>
            </w14:solidFill>
          </w14:textFill>
        </w:rPr>
        <w:t>提</w:t>
      </w:r>
      <w:r>
        <w:rPr>
          <w:rFonts w:hint="default" w:ascii="Times New Roman" w:hAnsi="Times New Roman" w:eastAsia="仿宋_GB2312" w:cs="Times New Roman"/>
          <w:color w:val="000000" w:themeColor="text1"/>
          <w:spacing w:val="0"/>
          <w:sz w:val="32"/>
          <w:szCs w:val="32"/>
          <w14:textFill>
            <w14:solidFill>
              <w14:schemeClr w14:val="tx1"/>
            </w14:solidFill>
          </w14:textFill>
        </w:rPr>
        <w:t>档升级。</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二是</w:t>
      </w:r>
      <w:r>
        <w:rPr>
          <w:rFonts w:hint="default" w:ascii="Times New Roman" w:hAnsi="Times New Roman" w:eastAsia="仿宋_GB2312" w:cs="Times New Roman"/>
          <w:color w:val="000000" w:themeColor="text1"/>
          <w:spacing w:val="0"/>
          <w:sz w:val="32"/>
          <w:szCs w:val="32"/>
          <w14:textFill>
            <w14:solidFill>
              <w14:schemeClr w14:val="tx1"/>
            </w14:solidFill>
          </w14:textFill>
        </w:rPr>
        <w:t>集体经济发展要画好致富同心圆，充分运用“共同缔造”的理念，扩大村民参与半径。一方面，项目招引、实施、定位、发展，做到村民群策群力、积极参与、决策民主，使得集体经济发展始终沿着群众所呼、方向正确的轨道推进。另一方面，要构建联农带农机制，共享发展收益，以管理经营、技术带动、资源参股、务工就业、产业链补充、小产业嵌入大集体等形式，形成利益联结体，从而实现村集体经济与村民产业发展的良性互动，实现共同富裕。</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楷体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大标宋简体" w:cs="Times New Roman"/>
          <w:color w:val="000000" w:themeColor="text1"/>
          <w:spacing w:val="0"/>
          <w:sz w:val="32"/>
          <w:szCs w:val="32"/>
          <w14:textFill>
            <w14:solidFill>
              <w14:schemeClr w14:val="tx1"/>
            </w14:solidFill>
          </w14:textFill>
        </w:rPr>
      </w:pPr>
      <w:r>
        <w:rPr>
          <w:rFonts w:hint="default" w:ascii="Times New Roman" w:hAnsi="Times New Roman" w:eastAsia="方正大标宋简体"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大标宋简体"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17"/>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17"/>
          <w:sz w:val="44"/>
          <w:szCs w:val="44"/>
          <w:lang w:val="en-US" w:eastAsia="zh-CN" w:bidi="ar-SA"/>
          <w14:textFill>
            <w14:solidFill>
              <w14:schemeClr w14:val="tx1"/>
            </w14:solidFill>
          </w14:textFill>
        </w:rPr>
        <w:t>百姓呼吁仙桃什么时候才能实现“掌上办”？</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——关于进一步加强数字政府建设助力营商环境的建议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 xml:space="preserve">财贸委员组  </w:t>
      </w:r>
      <w:r>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黄书恺</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sz w:val="32"/>
          <w:szCs w:val="32"/>
          <w14:textFill>
            <w14:solidFill>
              <w14:schemeClr w14:val="tx1"/>
            </w14:solidFill>
          </w14:textFill>
        </w:rPr>
        <w:t>加强数字政府建设，是全面推进政府自身改革的一项重大举措，是“放管服”改革的基本要求，更是发展数字经济的必然需要和</w:t>
      </w:r>
      <w:r>
        <w:rPr>
          <w:rFonts w:hint="eastAsia" w:eastAsia="仿宋_GB2312" w:cs="Times New Roman"/>
          <w:color w:val="000000" w:themeColor="text1"/>
          <w:spacing w:val="0"/>
          <w:sz w:val="32"/>
          <w:szCs w:val="32"/>
          <w:lang w:eastAsia="zh-CN"/>
          <w14:textFill>
            <w14:solidFill>
              <w14:schemeClr w14:val="tx1"/>
            </w14:solidFill>
          </w14:textFill>
        </w:rPr>
        <w:t>打造效能</w:t>
      </w:r>
      <w:r>
        <w:rPr>
          <w:rFonts w:hint="default" w:ascii="Times New Roman" w:hAnsi="Times New Roman" w:eastAsia="仿宋_GB2312" w:cs="Times New Roman"/>
          <w:color w:val="000000" w:themeColor="text1"/>
          <w:spacing w:val="0"/>
          <w:sz w:val="32"/>
          <w:szCs w:val="32"/>
          <w14:textFill>
            <w14:solidFill>
              <w14:schemeClr w14:val="tx1"/>
            </w14:solidFill>
          </w14:textFill>
        </w:rPr>
        <w:t>政府建设的倒逼机制。用政府自身的减法换取企业发展、百姓满意的乘法，努力革除政府管理中的积弊，推进政府行政权力网上运行，提升“互联网+”公共服务效率，让数据“多跑路”，让群众“少跑腿”，实现最多跑一次。但数据壁垒难以打破、信息孤岛客观存在的问题，很大程度上制约了网上办事的深度和广度</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从我市的实际情况来看，业务数据共享难度大，各部门政务数据采集的标准、格式和架构不一致，政务数据存在技术标准差异，相互之间难以有效比对和共享</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不利于数据的统一管理、统一使用</w:t>
      </w:r>
      <w:r>
        <w:rPr>
          <w:rFonts w:hint="eastAsia" w:eastAsia="仿宋_GB2312"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14:textFill>
            <w14:solidFill>
              <w14:schemeClr w14:val="tx1"/>
            </w14:solidFill>
          </w14:textFill>
        </w:rPr>
        <w:t>数据壁垒已成为影响改革深入推进的关键一环。对此，我们建议：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1.以信息化电子平台建设推进智慧政务。</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一是</w:t>
      </w:r>
      <w:r>
        <w:rPr>
          <w:rFonts w:hint="default" w:ascii="Times New Roman" w:hAnsi="Times New Roman" w:eastAsia="仿宋_GB2312" w:cs="Times New Roman"/>
          <w:color w:val="000000" w:themeColor="text1"/>
          <w:spacing w:val="0"/>
          <w:sz w:val="32"/>
          <w:szCs w:val="32"/>
          <w14:textFill>
            <w14:solidFill>
              <w14:schemeClr w14:val="tx1"/>
            </w14:solidFill>
          </w14:textFill>
        </w:rPr>
        <w:t>围绕“放管服”改革，做好政务云建设，打破部门间信息壁垒，建立协同机制。建议市领导牵头建立统筹保障机制，推进并联审批和“不见面”审批，构建全方位政务服务、全系统数据共享、全流程网上审批、全天候智能服务、全维度电子监察政务服务的管理平台，形成规范精准、公正监管、高效服务的“放管服”改革工作闭环。统一标准，完善充实系统内部数据信息，做好电子政务平台建设及政务数据建构工作。以“信息系统整体部署、数据资源汇聚共享、业务应用有效协同”为方向，形成基础信息资源部门间开放、共享的云平台接口建设。条线上的数据是透明、留痕、可追溯的，评价数据的产生最好是系统自动生成的，可以减少人为干预因素，相对客观，且利于所有的流程监督及后期整改优化时的全程跟踪，便于穿透式监管。</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二是</w:t>
      </w:r>
      <w:r>
        <w:rPr>
          <w:rFonts w:hint="default" w:ascii="Times New Roman" w:hAnsi="Times New Roman" w:eastAsia="仿宋_GB2312" w:cs="Times New Roman"/>
          <w:color w:val="000000" w:themeColor="text1"/>
          <w:spacing w:val="0"/>
          <w:sz w:val="32"/>
          <w:szCs w:val="32"/>
          <w14:textFill>
            <w14:solidFill>
              <w14:schemeClr w14:val="tx1"/>
            </w14:solidFill>
          </w14:textFill>
        </w:rPr>
        <w:t>高标准</w:t>
      </w:r>
      <w:r>
        <w:rPr>
          <w:rFonts w:hint="eastAsia" w:eastAsia="仿宋_GB2312" w:cs="Times New Roman"/>
          <w:color w:val="000000" w:themeColor="text1"/>
          <w:spacing w:val="0"/>
          <w:sz w:val="32"/>
          <w:szCs w:val="32"/>
          <w:lang w:eastAsia="zh-CN"/>
          <w14:textFill>
            <w14:solidFill>
              <w14:schemeClr w14:val="tx1"/>
            </w14:solidFill>
          </w14:textFill>
        </w:rPr>
        <w:t>建设</w:t>
      </w:r>
      <w:r>
        <w:rPr>
          <w:rFonts w:hint="default" w:ascii="Times New Roman" w:hAnsi="Times New Roman" w:eastAsia="仿宋_GB2312" w:cs="Times New Roman"/>
          <w:color w:val="000000" w:themeColor="text1"/>
          <w:spacing w:val="0"/>
          <w:sz w:val="32"/>
          <w:szCs w:val="32"/>
          <w14:textFill>
            <w14:solidFill>
              <w14:schemeClr w14:val="tx1"/>
            </w14:solidFill>
          </w14:textFill>
        </w:rPr>
        <w:t>政务服务中心。完善市级政务服务通用基础标准、保障标准、提供标准和处置规范。探索政务服务中心信息化、标准化、便民化建设。推进审批权与监管权、受理权与审核权、隶属权与管理权分离，打造集中到位的审批实体窗口平台。变等待补件为预审服务，推进并联审批改革，做好多评合一工作。建议打造24小时“不打烊”的手机APP一网通集成服务平台+政府服务热线+免费EMS政务专递+自助设备终端自助取证办理模式。</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2.充分考虑不同用户主体的需求，坚持以用户体验为建设导向。</w:t>
      </w:r>
      <w:r>
        <w:rPr>
          <w:rFonts w:hint="default" w:ascii="Times New Roman" w:hAnsi="Times New Roman" w:eastAsia="仿宋_GB2312" w:cs="Times New Roman"/>
          <w:color w:val="000000" w:themeColor="text1"/>
          <w:spacing w:val="0"/>
          <w:sz w:val="32"/>
          <w:szCs w:val="32"/>
          <w14:textFill>
            <w14:solidFill>
              <w14:schemeClr w14:val="tx1"/>
            </w14:solidFill>
          </w14:textFill>
        </w:rPr>
        <w:t>重视服务意识和数字技术建设相结合，不断加强数字化、网上办的政务服务意识与基础设施建设工作，加强宣传教育并主动与办事群众联系，促进营商环境建设进入良性循环发展。从“一网通办”积极向“一网好办”升级，通过推进政务服务自助终端平台、一体化平台、APP、人工智能等建设，以实现政务服务更高效、更便捷、更精准。完善系统通、网络通、数据通等技术基础，保障业务全周期电子化、集成化办理，精简办事手续，进一步提升线上办理的体验感。推进投资项目审批便利化，提升项目建设审批效率。在此基础上，还应不断推进政务服务减时限、减环节、减材料、减跑动次数，推行政务服务大厅“一窗办”、高频事项“掌上办”、无人工干预“智能办”、自助终端“就近办”、政务服务“跨域办”。必须充分解决办事环节多，办理时间长，材料提交重复，多次才能办理手续等问题，改善群众和企业的办事体验，提高政府的办事效率，为优化营商环境建设筑牢基础。</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r>
        <w:rPr>
          <w:rFonts w:hint="default" w:ascii="楷体_GB2312" w:hAnsi="楷体_GB2312" w:eastAsia="楷体_GB2312" w:cs="楷体_GB2312"/>
          <w:color w:val="000000" w:themeColor="text1"/>
          <w:sz w:val="32"/>
          <w:szCs w:val="32"/>
          <w:lang w:val="en-US" w:eastAsia="zh-CN"/>
          <w14:textFill>
            <w14:solidFill>
              <w14:schemeClr w14:val="tx1"/>
            </w14:solidFill>
          </w14:textFill>
        </w:rPr>
        <w:t>3.强化监管，创新服务模式。</w:t>
      </w:r>
      <w:r>
        <w:rPr>
          <w:rFonts w:hint="default" w:ascii="Times New Roman" w:hAnsi="Times New Roman" w:eastAsia="仿宋_GB2312" w:cs="Times New Roman"/>
          <w:color w:val="000000" w:themeColor="text1"/>
          <w:spacing w:val="0"/>
          <w:sz w:val="32"/>
          <w:szCs w:val="32"/>
          <w14:textFill>
            <w14:solidFill>
              <w14:schemeClr w14:val="tx1"/>
            </w14:solidFill>
          </w14:textFill>
        </w:rPr>
        <w:t>运用大数据、云计算、物联网等新技术手段，实现在线即时监督监管。通过引入专业机构、与第三方征信平台合作、拓宽公众舆论监督渠道等方式，形成多方参与监督的格局。加快市场主体自律建设，开展企业年报公示制度，将异常名录信息归集范围扩大到市场监管以外的行政部门，建立市场主体社会责任报告制度和责任追溯制度。完善企业信用档案，建立公共信用风险评价模型，根据信用大数据区别监管。在广泛推行改善政务环境普惠制的基础上，结合构建“高精尖”产业发展格局的现实需要，聚焦“高精尖”产业发展的需求，创新服务模式，为高精尖产业引进、入住等审批服务做加法，推行“代办制”和“管家式”全方位的系列精准服务措施，提高服务的针对性、有效性和实效性。强化政务服务体系建设，变“条块分割”为“整体联动”，为“高精尖”产业落地发展开辟联审联批的绿色通道。</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cs="Times New Roman"/>
          <w:color w:val="000000" w:themeColor="text1"/>
          <w:spacing w:val="0"/>
          <w:sz w:val="32"/>
          <w:szCs w:val="32"/>
          <w14:textFill>
            <w14:solidFill>
              <w14:schemeClr w14:val="tx1"/>
            </w14:solidFill>
          </w14:textFill>
        </w:rPr>
      </w:pPr>
      <w:r>
        <w:rPr>
          <w:rFonts w:hint="default" w:ascii="Times New Roman" w:hAnsi="Times New Roman" w:cs="Times New Roman"/>
          <w:color w:val="000000" w:themeColor="text1"/>
          <w:spacing w:val="0"/>
          <w:sz w:val="32"/>
          <w:szCs w:val="32"/>
          <w14:textFill>
            <w14:solidFill>
              <w14:schemeClr w14:val="tx1"/>
            </w14:solidFill>
          </w14:textFill>
        </w:rPr>
        <w:br w:type="page"/>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楷体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pPr>
      <w:r>
        <w:rPr>
          <w:rFonts w:hint="default" w:ascii="方正小标宋简体" w:hAnsi="方正小标宋简体" w:eastAsia="方正小标宋简体" w:cs="方正小标宋简体"/>
          <w:bCs/>
          <w:caps w:val="0"/>
          <w:color w:val="000000" w:themeColor="text1"/>
          <w:spacing w:val="0"/>
          <w:sz w:val="44"/>
          <w:szCs w:val="44"/>
          <w:lang w:val="en-US" w:eastAsia="zh-CN" w:bidi="ar-SA"/>
          <w14:textFill>
            <w14:solidFill>
              <w14:schemeClr w14:val="tx1"/>
            </w14:solidFill>
          </w14:textFill>
        </w:rPr>
        <w:t>我为打造仙桃服装精品说两句</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0"/>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——关于推动仙西服装集聚区高质量发展的建议</w:t>
      </w:r>
    </w:p>
    <w:p>
      <w:pPr>
        <w:keepNext w:val="0"/>
        <w:keepLines w:val="0"/>
        <w:pageBreakBefore w:val="0"/>
        <w:widowControl w:val="0"/>
        <w:shd w:val="clear"/>
        <w:kinsoku/>
        <w:wordWrap/>
        <w:overflowPunct/>
        <w:topLinePunct w:val="0"/>
        <w:autoSpaceDE/>
        <w:autoSpaceDN/>
        <w:bidi w:val="0"/>
        <w:adjustRightInd/>
        <w:snapToGrid/>
        <w:spacing w:line="560" w:lineRule="exact"/>
        <w:ind w:left="0" w:firstLine="0" w:firstLineChars="0"/>
        <w:jc w:val="center"/>
        <w:textAlignment w:val="auto"/>
        <w:outlineLvl w:val="1"/>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pPr>
      <w:r>
        <w:rPr>
          <w:rFonts w:hint="eastAsia"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对外友好</w:t>
      </w:r>
      <w:r>
        <w:rPr>
          <w:rFonts w:hint="default" w:ascii="TimesNewRoman" w:hAnsi="TimesNewRoman" w:eastAsia="楷体_GB2312" w:cs="TimesNewRoman"/>
          <w:b/>
          <w:caps w:val="0"/>
          <w:color w:val="000000" w:themeColor="text1"/>
          <w:spacing w:val="0"/>
          <w:sz w:val="32"/>
          <w:szCs w:val="32"/>
          <w:lang w:val="en-US" w:eastAsia="zh-CN" w:bidi="ar-SA"/>
          <w14:textFill>
            <w14:solidFill>
              <w14:schemeClr w14:val="tx1"/>
            </w14:solidFill>
          </w14:textFill>
        </w:rPr>
        <w:t>委员组  邓志刚</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当前，仙桃市纺织服装全行业市场主体达到2300多家，其中规模以上企业共41家，</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2021年</w:t>
      </w:r>
      <w:r>
        <w:rPr>
          <w:rFonts w:hint="eastAsia" w:ascii="仿宋_GB2312" w:hAnsi="仿宋_GB2312" w:eastAsia="仿宋_GB2312" w:cs="仿宋_GB2312"/>
          <w:color w:val="000000" w:themeColor="text1"/>
          <w:spacing w:val="0"/>
          <w:sz w:val="32"/>
          <w:szCs w:val="32"/>
          <w14:textFill>
            <w14:solidFill>
              <w14:schemeClr w14:val="tx1"/>
            </w14:solidFill>
          </w14:textFill>
        </w:rPr>
        <w:t>实现产值115.5亿元，创销售收入102亿元，形成了完整的产业链条，产品涵盖了女裤、警用服装、婴幼儿服饰、西服、运动服、羽绒服、针织衫等20多个系列，吸纳相关就业职工8万多人，在湖北省乃至全国的纺织市场上占有重要地位。仙西服装产业集聚区的核心区毛嘴镇，目前已集聚服装生产、研发、辅料等上下游企业超300家，其中20余家规上企业品牌化发展，生产加工企业242家，吸纳各类就业人员近3万人，年产女裤1.1亿条，生产全国60%的女裤。毛嘴女裤品牌更是逐步叫响全国。与此同时，仙西服装集聚区在蓬勃发展的过程中，一些问题和挑战也逐渐显现出来，还存在一些亟待解决的问</w:t>
      </w:r>
      <w:r>
        <w:rPr>
          <w:rFonts w:hint="default" w:ascii="Times New Roman" w:hAnsi="Times New Roman" w:eastAsia="仿宋_GB2312" w:cs="Times New Roman"/>
          <w:color w:val="000000" w:themeColor="text1"/>
          <w:spacing w:val="0"/>
          <w:sz w:val="32"/>
          <w:szCs w:val="32"/>
          <w14:textFill>
            <w14:solidFill>
              <w14:schemeClr w14:val="tx1"/>
            </w14:solidFill>
          </w14:textFill>
        </w:rPr>
        <w:t>题：</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一是</w:t>
      </w:r>
      <w:r>
        <w:rPr>
          <w:rFonts w:hint="default" w:ascii="Times New Roman" w:hAnsi="Times New Roman" w:eastAsia="仿宋_GB2312" w:cs="Times New Roman"/>
          <w:color w:val="000000" w:themeColor="text1"/>
          <w:spacing w:val="0"/>
          <w:sz w:val="32"/>
          <w:szCs w:val="32"/>
          <w14:textFill>
            <w14:solidFill>
              <w14:schemeClr w14:val="tx1"/>
            </w14:solidFill>
          </w14:textFill>
        </w:rPr>
        <w:t>服装行业发展缺乏有力的引导，服装企业整体呈现数量多、体量小，产业集聚度高、产品同质化强的特点，缺乏龙头带动企业。</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二是</w:t>
      </w:r>
      <w:r>
        <w:rPr>
          <w:rFonts w:hint="default" w:ascii="Times New Roman" w:hAnsi="Times New Roman" w:eastAsia="仿宋_GB2312" w:cs="Times New Roman"/>
          <w:color w:val="000000" w:themeColor="text1"/>
          <w:spacing w:val="0"/>
          <w:sz w:val="32"/>
          <w:szCs w:val="32"/>
          <w14:textFill>
            <w14:solidFill>
              <w14:schemeClr w14:val="tx1"/>
            </w14:solidFill>
          </w14:textFill>
        </w:rPr>
        <w:t>服装企业以代加工为主，自主品牌较少，大多位于产业链中间，企业利润不高。</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三是</w:t>
      </w:r>
      <w:r>
        <w:rPr>
          <w:rFonts w:hint="default" w:ascii="Times New Roman" w:hAnsi="Times New Roman" w:eastAsia="仿宋_GB2312" w:cs="Times New Roman"/>
          <w:color w:val="000000" w:themeColor="text1"/>
          <w:spacing w:val="0"/>
          <w:sz w:val="32"/>
          <w:szCs w:val="32"/>
          <w14:textFill>
            <w14:solidFill>
              <w14:schemeClr w14:val="tx1"/>
            </w14:solidFill>
          </w14:textFill>
        </w:rPr>
        <w:t>企业缺乏先进的经营管理理念和市场运作能力，作坊式生产经营理念根深蒂固。</w:t>
      </w:r>
      <w:r>
        <w:rPr>
          <w:rFonts w:hint="default" w:ascii="Times New Roman" w:hAnsi="Times New Roman" w:eastAsia="仿宋_GB2312" w:cs="Times New Roman"/>
          <w:b/>
          <w:bCs/>
          <w:color w:val="000000" w:themeColor="text1"/>
          <w:spacing w:val="0"/>
          <w:sz w:val="32"/>
          <w:szCs w:val="32"/>
          <w14:textFill>
            <w14:solidFill>
              <w14:schemeClr w14:val="tx1"/>
            </w14:solidFill>
          </w14:textFill>
        </w:rPr>
        <w:t>四是</w:t>
      </w:r>
      <w:r>
        <w:rPr>
          <w:rFonts w:hint="default" w:ascii="Times New Roman" w:hAnsi="Times New Roman" w:eastAsia="仿宋_GB2312" w:cs="Times New Roman"/>
          <w:color w:val="000000" w:themeColor="text1"/>
          <w:spacing w:val="0"/>
          <w:sz w:val="32"/>
          <w:szCs w:val="32"/>
          <w14:textFill>
            <w14:solidFill>
              <w14:schemeClr w14:val="tx1"/>
            </w14:solidFill>
          </w14:textFill>
        </w:rPr>
        <w:t>销售模式单一，企业主要销售份额依然是传统的销售模式，本土电商基本处于摸索阶段，缺乏成熟的电商销售模式。</w:t>
      </w:r>
      <w:r>
        <w:rPr>
          <w:rFonts w:hint="eastAsia" w:eastAsia="仿宋_GB2312" w:cs="Times New Roman"/>
          <w:color w:val="000000" w:themeColor="text1"/>
          <w:spacing w:val="0"/>
          <w:sz w:val="32"/>
          <w:szCs w:val="32"/>
          <w:lang w:eastAsia="zh-CN"/>
          <w14:textFill>
            <w14:solidFill>
              <w14:schemeClr w14:val="tx1"/>
            </w14:solidFill>
          </w14:textFill>
        </w:rPr>
        <w:t>要实现仙西服装集聚区高质量发展，必须要走精品化道路，从追求数量向追求质量转变，通过精品的打造来实现突破性发展、跨越式进步，真正成为仙桃服装产业重要支柱。</w:t>
      </w:r>
      <w:r>
        <w:rPr>
          <w:rFonts w:hint="eastAsia" w:eastAsia="仿宋_GB2312" w:cs="Times New Roman"/>
          <w:color w:val="000000" w:themeColor="text1"/>
          <w:spacing w:val="0"/>
          <w:kern w:val="21"/>
          <w:sz w:val="32"/>
          <w:szCs w:val="32"/>
          <w:lang w:eastAsia="zh-CN"/>
          <w14:textFill>
            <w14:solidFill>
              <w14:schemeClr w14:val="tx1"/>
            </w14:solidFill>
          </w14:textFill>
        </w:rPr>
        <w:t>为此</w:t>
      </w:r>
      <w:r>
        <w:rPr>
          <w:rFonts w:hint="default" w:ascii="Times New Roman" w:hAnsi="Times New Roman" w:eastAsia="仿宋_GB2312" w:cs="Times New Roman"/>
          <w:color w:val="000000" w:themeColor="text1"/>
          <w:spacing w:val="0"/>
          <w:kern w:val="21"/>
          <w:sz w:val="32"/>
          <w:szCs w:val="32"/>
          <w14:textFill>
            <w14:solidFill>
              <w14:schemeClr w14:val="tx1"/>
            </w14:solidFill>
          </w14:textFill>
        </w:rPr>
        <w:t>，我建议：</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1.实施培优壮骨工程，提升品牌建设。</w:t>
      </w:r>
      <w:r>
        <w:rPr>
          <w:rFonts w:hint="default" w:ascii="Times New Roman" w:hAnsi="Times New Roman" w:eastAsia="仿宋_GB2312" w:cs="Times New Roman"/>
          <w:color w:val="000000" w:themeColor="text1"/>
          <w:spacing w:val="0"/>
          <w:sz w:val="32"/>
          <w:szCs w:val="32"/>
          <w14:textFill>
            <w14:solidFill>
              <w14:schemeClr w14:val="tx1"/>
            </w14:solidFill>
          </w14:textFill>
        </w:rPr>
        <w:t>要以增品种、提品质、创品牌为重点，加大招商引资力度，瞄准行业领军企业，尤其是在服装行业有一定影响力、号召力、硬实力的</w:t>
      </w:r>
      <w:r>
        <w:rPr>
          <w:rFonts w:hint="eastAsia" w:eastAsia="仿宋_GB2312" w:cs="Times New Roman"/>
          <w:color w:val="000000" w:themeColor="text1"/>
          <w:spacing w:val="0"/>
          <w:sz w:val="32"/>
          <w:szCs w:val="32"/>
          <w:lang w:eastAsia="zh-CN"/>
          <w14:textFill>
            <w14:solidFill>
              <w14:schemeClr w14:val="tx1"/>
            </w14:solidFill>
          </w14:textFill>
        </w:rPr>
        <w:t>沔商</w:t>
      </w:r>
      <w:r>
        <w:rPr>
          <w:rFonts w:hint="default" w:ascii="Times New Roman" w:hAnsi="Times New Roman" w:eastAsia="仿宋_GB2312" w:cs="Times New Roman"/>
          <w:color w:val="000000" w:themeColor="text1"/>
          <w:spacing w:val="0"/>
          <w:sz w:val="32"/>
          <w:szCs w:val="32"/>
          <w14:textFill>
            <w14:solidFill>
              <w14:schemeClr w14:val="tx1"/>
            </w14:solidFill>
          </w14:textFill>
        </w:rPr>
        <w:t>企业，</w:t>
      </w:r>
      <w:r>
        <w:rPr>
          <w:rFonts w:hint="eastAsia" w:eastAsia="仿宋_GB2312" w:cs="Times New Roman"/>
          <w:color w:val="000000" w:themeColor="text1"/>
          <w:spacing w:val="0"/>
          <w:sz w:val="32"/>
          <w:szCs w:val="32"/>
          <w:lang w:eastAsia="zh-CN"/>
          <w14:textFill>
            <w14:solidFill>
              <w14:schemeClr w14:val="tx1"/>
            </w14:solidFill>
          </w14:textFill>
        </w:rPr>
        <w:t>给予</w:t>
      </w:r>
      <w:r>
        <w:rPr>
          <w:rFonts w:hint="default" w:ascii="Times New Roman" w:hAnsi="Times New Roman" w:eastAsia="仿宋_GB2312" w:cs="Times New Roman"/>
          <w:color w:val="000000" w:themeColor="text1"/>
          <w:spacing w:val="0"/>
          <w:sz w:val="32"/>
          <w:szCs w:val="32"/>
          <w14:textFill>
            <w14:solidFill>
              <w14:schemeClr w14:val="tx1"/>
            </w14:solidFill>
          </w14:textFill>
        </w:rPr>
        <w:t>政策优惠，鼓励回乡投资建厂。同时，鼓励本土企业做大做强，积极对接、吸纳广州的电商市场、原料市场、外贸市场，提升转移回迁效率，建设特色产业园区，推进纺织服装产业扩能、提质、增效。</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2.</w:t>
      </w:r>
      <w:r>
        <w:rPr>
          <w:rFonts w:hint="default" w:ascii="楷体_GB2312" w:hAnsi="楷体_GB2312" w:eastAsia="楷体_GB2312" w:cs="楷体_GB2312"/>
          <w:color w:val="000000" w:themeColor="text1"/>
          <w:sz w:val="32"/>
          <w:szCs w:val="32"/>
          <w:lang w:val="en-US" w:eastAsia="zh-CN"/>
          <w14:textFill>
            <w14:solidFill>
              <w14:schemeClr w14:val="tx1"/>
            </w14:solidFill>
          </w14:textFill>
        </w:rPr>
        <w:t>大力支持电商发展，优化销售模式。</w:t>
      </w:r>
      <w:r>
        <w:rPr>
          <w:rFonts w:hint="eastAsia" w:ascii="仿宋_GB2312" w:hAnsi="仿宋_GB2312" w:eastAsia="仿宋_GB2312" w:cs="仿宋_GB2312"/>
          <w:color w:val="000000" w:themeColor="text1"/>
          <w:spacing w:val="0"/>
          <w:sz w:val="32"/>
          <w:szCs w:val="32"/>
          <w14:textFill>
            <w14:solidFill>
              <w14:schemeClr w14:val="tx1"/>
            </w14:solidFill>
          </w14:textFill>
        </w:rPr>
        <w:t>目前虽然有一些服装企业探索实行线上销售</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但是规模和销售份额不大，缺乏成熟的电商销售模式。要引导企业开展线上线下销售模式，借鉴广州、杭州“直播电商+专业批发市场”“直播电商+大型商场+传统品牌”“直播电商+夜经济”“直播电商+展会”等多种模式。进一步优化完善仙西服装聚集区物流体系，针对直播带货业务，动员快递企业在园区设立分拣中心，实现“直发全国”（目前需要发至仙桃分拣中心再发往全国）。同时，采取业务打包模式，进一步提高发单量，降低物流快递成本。</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Times New Roman"/>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3.</w:t>
      </w:r>
      <w:r>
        <w:rPr>
          <w:rFonts w:hint="default" w:ascii="楷体_GB2312" w:hAnsi="楷体_GB2312" w:eastAsia="楷体_GB2312" w:cs="楷体_GB2312"/>
          <w:color w:val="000000" w:themeColor="text1"/>
          <w:sz w:val="32"/>
          <w:szCs w:val="32"/>
          <w:lang w:val="en-US" w:eastAsia="zh-CN"/>
          <w14:textFill>
            <w14:solidFill>
              <w14:schemeClr w14:val="tx1"/>
            </w14:solidFill>
          </w14:textFill>
        </w:rPr>
        <w:t>延长服装产业链条，提升发展产能。</w:t>
      </w:r>
      <w:r>
        <w:rPr>
          <w:rFonts w:hint="default" w:ascii="Times New Roman" w:hAnsi="Times New Roman" w:eastAsia="仿宋_GB2312" w:cs="Times New Roman"/>
          <w:color w:val="000000" w:themeColor="text1"/>
          <w:spacing w:val="0"/>
          <w:sz w:val="32"/>
          <w:szCs w:val="32"/>
          <w14:textFill>
            <w14:solidFill>
              <w14:schemeClr w14:val="tx1"/>
            </w14:solidFill>
          </w14:textFill>
        </w:rPr>
        <w:t>要聚焦补短板、聚集群、延链条，统筹抓好服装设计、印染刺绣、生产加工、原辅料供应、物流等多个方面，进一步降低企业生产成本，吸纳优质市场主体落户，推动形成纺织服装特色优势产业集群，不断完善产业配套链、延伸创新制造链、打造特色区域链、提升品牌价值链。</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4.</w:t>
      </w:r>
      <w:r>
        <w:rPr>
          <w:rFonts w:hint="default" w:ascii="楷体_GB2312" w:hAnsi="楷体_GB2312" w:eastAsia="楷体_GB2312" w:cs="楷体_GB2312"/>
          <w:color w:val="000000" w:themeColor="text1"/>
          <w:sz w:val="32"/>
          <w:szCs w:val="32"/>
          <w:lang w:val="en-US" w:eastAsia="zh-CN"/>
          <w14:textFill>
            <w14:solidFill>
              <w14:schemeClr w14:val="tx1"/>
            </w14:solidFill>
          </w14:textFill>
        </w:rPr>
        <w:t>提升行业管理水平，开阔企业视角。</w:t>
      </w:r>
      <w:r>
        <w:rPr>
          <w:rFonts w:hint="eastAsia" w:ascii="仿宋_GB2312" w:hAnsi="仿宋_GB2312" w:eastAsia="仿宋_GB2312" w:cs="仿宋_GB2312"/>
          <w:color w:val="000000" w:themeColor="text1"/>
          <w:spacing w:val="0"/>
          <w:sz w:val="32"/>
          <w:szCs w:val="32"/>
          <w14:textFill>
            <w14:solidFill>
              <w14:schemeClr w14:val="tx1"/>
            </w14:solidFill>
          </w14:textFill>
        </w:rPr>
        <w:t>要扭转企业小富即安的作坊式思想，让企业走出去学习，横向对比国内其他服装产业集群，让企业家认识到粗放型、松散性、随意式生产不可取、更不能长久的危机。当前，中国纺联产业集群工作委员会已与毛嘴镇开展产业集群试点共建工作，授予毛嘴镇“中国女裤名镇”称号。企业需要多走出去学习，开阔视野、提升管理能力，政府也要多加强引导，加强政产学研的合作，在全国纺织集群产业中找准定位，提升差异化竞争水平，打造特色纺织服装产业集群和仙桃城镇化新样板。</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p>
    <w:sectPr>
      <w:footerReference r:id="rId3" w:type="default"/>
      <w:pgSz w:w="11906" w:h="16838"/>
      <w:pgMar w:top="1701" w:right="1800" w:bottom="1701" w:left="1800" w:header="851" w:footer="1361" w:gutter="0"/>
      <w:pgBorders>
        <w:top w:val="none" w:sz="0" w:space="0"/>
        <w:left w:val="none" w:sz="0" w:space="0"/>
        <w:bottom w:val="none" w:sz="0" w:space="0"/>
        <w:right w:val="none" w:sz="0" w:space="0"/>
      </w:pgBorders>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rbel">
    <w:panose1 w:val="020B0503020204020204"/>
    <w:charset w:val="00"/>
    <w:family w:val="swiss"/>
    <w:pitch w:val="default"/>
    <w:sig w:usb0="A00002EF" w:usb1="4000A44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方正隶书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imesNewRoman">
    <w:panose1 w:val="02020603050405020304"/>
    <w:charset w:val="00"/>
    <w:family w:val="auto"/>
    <w:pitch w:val="default"/>
    <w:sig w:usb0="E0002EFF" w:usb1="D00078FF" w:usb2="00000029" w:usb3="00000000" w:csb0="600001FF" w:csb1="FFFF0000"/>
  </w:font>
  <w:font w:name="等线 Light">
    <w:altName w:val="宋体"/>
    <w:panose1 w:val="02010600030101010101"/>
    <w:charset w:val="86"/>
    <w:family w:val="auto"/>
    <w:pitch w:val="default"/>
    <w:sig w:usb0="00000000" w:usb1="00000000" w:usb2="00000016" w:usb3="00000000" w:csb0="0004000F" w:csb1="00000000"/>
  </w:font>
  <w:font w:name="方正大标宋简体">
    <w:panose1 w:val="03000509000000000000"/>
    <w:charset w:val="86"/>
    <w:family w:val="auto"/>
    <w:pitch w:val="default"/>
    <w:sig w:usb0="00000001" w:usb1="080E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1F00FF" w:csb1="FFFF0000"/>
  </w:font>
  <w:font w:name="等线 Light">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ascii="宋体" w:hAnsi="宋体" w:eastAsia="宋体" w:cs="宋体"/>
        <w:sz w:val="28"/>
        <w:szCs w:val="28"/>
      </w:rPr>
    </w:pPr>
    <w:r>
      <w:rPr>
        <w:rFonts w:hint="eastAsia" w:ascii="宋体" w:hAnsi="宋体" w:eastAsia="宋体" w:cs="宋体"/>
        <w:sz w:val="28"/>
        <w:szCs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5</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5</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ZiODUzZTMzOGNlMzM0NTRkZjIxOWE3MjM5Yjg3NzIifQ=="/>
  </w:docVars>
  <w:rsids>
    <w:rsidRoot w:val="003D1563"/>
    <w:rsid w:val="000055C0"/>
    <w:rsid w:val="00094CC0"/>
    <w:rsid w:val="001617A7"/>
    <w:rsid w:val="00215AED"/>
    <w:rsid w:val="00264AD3"/>
    <w:rsid w:val="002A2567"/>
    <w:rsid w:val="00325BD0"/>
    <w:rsid w:val="003802FD"/>
    <w:rsid w:val="003A32DF"/>
    <w:rsid w:val="003D1563"/>
    <w:rsid w:val="003F43E1"/>
    <w:rsid w:val="004272C4"/>
    <w:rsid w:val="004E68B3"/>
    <w:rsid w:val="00504FDF"/>
    <w:rsid w:val="005068D1"/>
    <w:rsid w:val="005360E6"/>
    <w:rsid w:val="005C5BF8"/>
    <w:rsid w:val="005F77EB"/>
    <w:rsid w:val="006055AD"/>
    <w:rsid w:val="006563E3"/>
    <w:rsid w:val="006B0786"/>
    <w:rsid w:val="007030D6"/>
    <w:rsid w:val="0072135C"/>
    <w:rsid w:val="00763A7B"/>
    <w:rsid w:val="007B615F"/>
    <w:rsid w:val="00882379"/>
    <w:rsid w:val="009148F0"/>
    <w:rsid w:val="009552D2"/>
    <w:rsid w:val="00971144"/>
    <w:rsid w:val="009A5289"/>
    <w:rsid w:val="009D52B6"/>
    <w:rsid w:val="009D7247"/>
    <w:rsid w:val="00A54978"/>
    <w:rsid w:val="00B30BC5"/>
    <w:rsid w:val="00B373A6"/>
    <w:rsid w:val="00BC62AF"/>
    <w:rsid w:val="00BF1228"/>
    <w:rsid w:val="00C33916"/>
    <w:rsid w:val="00CC31C6"/>
    <w:rsid w:val="00D2551E"/>
    <w:rsid w:val="00D37B38"/>
    <w:rsid w:val="00D816D5"/>
    <w:rsid w:val="00DD429F"/>
    <w:rsid w:val="00E17A1E"/>
    <w:rsid w:val="00E50A81"/>
    <w:rsid w:val="00F050D6"/>
    <w:rsid w:val="00FC0D26"/>
    <w:rsid w:val="00FD4F6A"/>
    <w:rsid w:val="022C7591"/>
    <w:rsid w:val="03441807"/>
    <w:rsid w:val="037B7D33"/>
    <w:rsid w:val="03A6103A"/>
    <w:rsid w:val="04114082"/>
    <w:rsid w:val="0432230B"/>
    <w:rsid w:val="043A0AD1"/>
    <w:rsid w:val="048E7480"/>
    <w:rsid w:val="04DF5F2E"/>
    <w:rsid w:val="08477F56"/>
    <w:rsid w:val="08CB697C"/>
    <w:rsid w:val="094338E5"/>
    <w:rsid w:val="0B5B4DFF"/>
    <w:rsid w:val="0B734AC3"/>
    <w:rsid w:val="0BA650C1"/>
    <w:rsid w:val="0E1C5AFD"/>
    <w:rsid w:val="0E6D2E80"/>
    <w:rsid w:val="0FD126EF"/>
    <w:rsid w:val="104F10B2"/>
    <w:rsid w:val="10E57AA1"/>
    <w:rsid w:val="12244F80"/>
    <w:rsid w:val="125E4B0E"/>
    <w:rsid w:val="12F72695"/>
    <w:rsid w:val="148B46C1"/>
    <w:rsid w:val="156E1C8F"/>
    <w:rsid w:val="157138FD"/>
    <w:rsid w:val="15817172"/>
    <w:rsid w:val="15B4486D"/>
    <w:rsid w:val="15E43973"/>
    <w:rsid w:val="15F54FC6"/>
    <w:rsid w:val="16C35BCF"/>
    <w:rsid w:val="16D8458B"/>
    <w:rsid w:val="17452A30"/>
    <w:rsid w:val="18AD1055"/>
    <w:rsid w:val="18BE62CB"/>
    <w:rsid w:val="18C21282"/>
    <w:rsid w:val="18CA5D12"/>
    <w:rsid w:val="196813EC"/>
    <w:rsid w:val="1969655D"/>
    <w:rsid w:val="1AF441C3"/>
    <w:rsid w:val="1BA15893"/>
    <w:rsid w:val="1BB00DAF"/>
    <w:rsid w:val="1BB76E65"/>
    <w:rsid w:val="1C102CBD"/>
    <w:rsid w:val="1D2625BD"/>
    <w:rsid w:val="1D9038A9"/>
    <w:rsid w:val="1E93476F"/>
    <w:rsid w:val="1EF726F8"/>
    <w:rsid w:val="1F9F033C"/>
    <w:rsid w:val="20DA089D"/>
    <w:rsid w:val="211A52BB"/>
    <w:rsid w:val="23507C9A"/>
    <w:rsid w:val="243472A5"/>
    <w:rsid w:val="24536AF3"/>
    <w:rsid w:val="25435834"/>
    <w:rsid w:val="25D92115"/>
    <w:rsid w:val="25E87C00"/>
    <w:rsid w:val="261D3D9B"/>
    <w:rsid w:val="278F67AD"/>
    <w:rsid w:val="27BB20A1"/>
    <w:rsid w:val="27C46B92"/>
    <w:rsid w:val="27EB2370"/>
    <w:rsid w:val="284D2C3C"/>
    <w:rsid w:val="28CA7A89"/>
    <w:rsid w:val="295E4DC4"/>
    <w:rsid w:val="29632B06"/>
    <w:rsid w:val="2973086F"/>
    <w:rsid w:val="2A4B05B1"/>
    <w:rsid w:val="2B2A317D"/>
    <w:rsid w:val="2C154F49"/>
    <w:rsid w:val="2C1F2268"/>
    <w:rsid w:val="2C2C601B"/>
    <w:rsid w:val="2C546339"/>
    <w:rsid w:val="2D3F1A33"/>
    <w:rsid w:val="2DC4790C"/>
    <w:rsid w:val="2DEF27F6"/>
    <w:rsid w:val="2F020F6A"/>
    <w:rsid w:val="2F807842"/>
    <w:rsid w:val="303E25B3"/>
    <w:rsid w:val="31B21A93"/>
    <w:rsid w:val="337C2823"/>
    <w:rsid w:val="362A49AB"/>
    <w:rsid w:val="363314F2"/>
    <w:rsid w:val="36EF5D37"/>
    <w:rsid w:val="370C5E5F"/>
    <w:rsid w:val="38715DFB"/>
    <w:rsid w:val="39057F17"/>
    <w:rsid w:val="395827DF"/>
    <w:rsid w:val="396E226E"/>
    <w:rsid w:val="3B4D5EF6"/>
    <w:rsid w:val="3BF03FA1"/>
    <w:rsid w:val="3C2E19CE"/>
    <w:rsid w:val="3CE10D64"/>
    <w:rsid w:val="3D505137"/>
    <w:rsid w:val="4085718A"/>
    <w:rsid w:val="40972C3D"/>
    <w:rsid w:val="41395AA3"/>
    <w:rsid w:val="415334E5"/>
    <w:rsid w:val="4255686B"/>
    <w:rsid w:val="4346094B"/>
    <w:rsid w:val="438B048D"/>
    <w:rsid w:val="44BE02F9"/>
    <w:rsid w:val="451234C4"/>
    <w:rsid w:val="487C41DD"/>
    <w:rsid w:val="4A145FEF"/>
    <w:rsid w:val="4A853B31"/>
    <w:rsid w:val="4AF45948"/>
    <w:rsid w:val="4C5E39CB"/>
    <w:rsid w:val="4CE92619"/>
    <w:rsid w:val="4E9D1D67"/>
    <w:rsid w:val="4F3E29BD"/>
    <w:rsid w:val="4F532425"/>
    <w:rsid w:val="4F5A1C47"/>
    <w:rsid w:val="4FBA06F6"/>
    <w:rsid w:val="51AB479B"/>
    <w:rsid w:val="520E6FB7"/>
    <w:rsid w:val="53322A4E"/>
    <w:rsid w:val="556C2077"/>
    <w:rsid w:val="56477BCD"/>
    <w:rsid w:val="59012EF2"/>
    <w:rsid w:val="59181207"/>
    <w:rsid w:val="59BC7DE4"/>
    <w:rsid w:val="5A640094"/>
    <w:rsid w:val="5A70032F"/>
    <w:rsid w:val="5A90452E"/>
    <w:rsid w:val="5B577EAD"/>
    <w:rsid w:val="5C086657"/>
    <w:rsid w:val="5C8A1594"/>
    <w:rsid w:val="5CDC6774"/>
    <w:rsid w:val="5E2A6445"/>
    <w:rsid w:val="5EB76484"/>
    <w:rsid w:val="5F000701"/>
    <w:rsid w:val="5FF21BD6"/>
    <w:rsid w:val="604762FA"/>
    <w:rsid w:val="613574EF"/>
    <w:rsid w:val="63B807C4"/>
    <w:rsid w:val="65EC2B01"/>
    <w:rsid w:val="65EE555D"/>
    <w:rsid w:val="660B75B1"/>
    <w:rsid w:val="669D5E7A"/>
    <w:rsid w:val="67044D4A"/>
    <w:rsid w:val="67102057"/>
    <w:rsid w:val="68B959F6"/>
    <w:rsid w:val="69033425"/>
    <w:rsid w:val="6B0D1BCA"/>
    <w:rsid w:val="6C184C60"/>
    <w:rsid w:val="6C883125"/>
    <w:rsid w:val="6DE55704"/>
    <w:rsid w:val="6DFE0574"/>
    <w:rsid w:val="70696AA3"/>
    <w:rsid w:val="71191803"/>
    <w:rsid w:val="7232470D"/>
    <w:rsid w:val="72B8016E"/>
    <w:rsid w:val="73133AF6"/>
    <w:rsid w:val="73865E80"/>
    <w:rsid w:val="73C179F6"/>
    <w:rsid w:val="74341B1B"/>
    <w:rsid w:val="74406B6D"/>
    <w:rsid w:val="744F012D"/>
    <w:rsid w:val="747D2218"/>
    <w:rsid w:val="76F87D58"/>
    <w:rsid w:val="781C72FD"/>
    <w:rsid w:val="784078DA"/>
    <w:rsid w:val="78C81139"/>
    <w:rsid w:val="799C5CDC"/>
    <w:rsid w:val="799D1CF5"/>
    <w:rsid w:val="79C07C9C"/>
    <w:rsid w:val="7B7C1FA5"/>
    <w:rsid w:val="7BD52385"/>
    <w:rsid w:val="7C003EB9"/>
    <w:rsid w:val="7C553E96"/>
    <w:rsid w:val="7CC32474"/>
    <w:rsid w:val="7D780588"/>
    <w:rsid w:val="7E00723B"/>
    <w:rsid w:val="7F6C2C60"/>
    <w:rsid w:val="7FFC7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2">
    <w:name w:val="heading 2"/>
    <w:basedOn w:val="1"/>
    <w:next w:val="1"/>
    <w:semiHidden/>
    <w:unhideWhenUsed/>
    <w:qFormat/>
    <w:uiPriority w:val="0"/>
    <w:pPr>
      <w:keepNext/>
      <w:keepLines/>
      <w:widowControl w:val="0"/>
      <w:spacing w:before="260" w:after="260" w:line="415" w:lineRule="auto"/>
      <w:outlineLvl w:val="1"/>
    </w:pPr>
    <w:rPr>
      <w:rFonts w:ascii="Arial" w:hAnsi="Arial" w:eastAsia="黑体"/>
      <w:b/>
      <w:sz w:val="32"/>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5">
    <w:name w:val="heading 5"/>
    <w:basedOn w:val="1"/>
    <w:next w:val="1"/>
    <w:link w:val="20"/>
    <w:semiHidden/>
    <w:unhideWhenUsed/>
    <w:qFormat/>
    <w:uiPriority w:val="9"/>
    <w:pPr>
      <w:keepNext/>
      <w:keepLines/>
      <w:spacing w:before="280" w:after="290" w:line="376" w:lineRule="auto"/>
      <w:outlineLvl w:val="4"/>
    </w:pPr>
    <w:rPr>
      <w:b/>
      <w:bCs/>
      <w:sz w:val="28"/>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rFonts w:ascii="Corbel" w:hAnsi="Corbel" w:eastAsia="华文中宋" w:cs="Corbel"/>
      <w:spacing w:val="0"/>
      <w:kern w:val="2"/>
      <w:sz w:val="21"/>
      <w:szCs w:val="20"/>
    </w:rPr>
  </w:style>
  <w:style w:type="paragraph" w:styleId="7">
    <w:name w:val="Body Text"/>
    <w:basedOn w:val="1"/>
    <w:unhideWhenUsed/>
    <w:qFormat/>
    <w:uiPriority w:val="99"/>
    <w:pPr>
      <w:spacing w:after="120"/>
    </w:pPr>
    <w:rPr>
      <w:szCs w:val="20"/>
    </w:rPr>
  </w:style>
  <w:style w:type="paragraph" w:styleId="8">
    <w:name w:val="Body Text Indent"/>
    <w:basedOn w:val="1"/>
    <w:next w:val="6"/>
    <w:unhideWhenUsed/>
    <w:qFormat/>
    <w:uiPriority w:val="99"/>
    <w:pPr>
      <w:spacing w:after="120" w:afterLines="0" w:afterAutospacing="0"/>
      <w:ind w:left="0" w:leftChars="0"/>
    </w:pPr>
    <w:rPr>
      <w:rFonts w:ascii="Calibri" w:hAnsi="Calibri"/>
      <w:sz w:val="30"/>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2"/>
    <w:basedOn w:val="1"/>
    <w:next w:val="1"/>
    <w:unhideWhenUsed/>
    <w:qFormat/>
    <w:uiPriority w:val="39"/>
    <w:pPr>
      <w:ind w:left="420" w:leftChars="200"/>
    </w:p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2"/>
    <w:basedOn w:val="8"/>
    <w:next w:val="1"/>
    <w:unhideWhenUsed/>
    <w:qFormat/>
    <w:uiPriority w:val="99"/>
    <w:pPr>
      <w:ind w:firstLine="420" w:firstLineChars="200"/>
    </w:pPr>
    <w:rPr>
      <w:rFonts w:ascii="Calibri" w:hAnsi="Calibri"/>
      <w:sz w:val="30"/>
    </w:rPr>
  </w:style>
  <w:style w:type="character" w:styleId="16">
    <w:name w:val="Strong"/>
    <w:basedOn w:val="15"/>
    <w:qFormat/>
    <w:uiPriority w:val="0"/>
    <w:rPr>
      <w:b/>
    </w:rPr>
  </w:style>
  <w:style w:type="character" w:styleId="17">
    <w:name w:val="page number"/>
    <w:basedOn w:val="15"/>
    <w:qFormat/>
    <w:uiPriority w:val="0"/>
  </w:style>
  <w:style w:type="character" w:styleId="18">
    <w:name w:val="Emphasis"/>
    <w:basedOn w:val="15"/>
    <w:qFormat/>
    <w:uiPriority w:val="20"/>
    <w:rPr>
      <w:i/>
    </w:rPr>
  </w:style>
  <w:style w:type="paragraph" w:customStyle="1" w:styleId="19">
    <w:name w:val="样式1"/>
    <w:basedOn w:val="11"/>
    <w:qFormat/>
    <w:uiPriority w:val="99"/>
    <w:pPr>
      <w:widowControl/>
      <w:spacing w:line="560" w:lineRule="exact"/>
      <w:ind w:left="0" w:leftChars="0"/>
      <w:jc w:val="left"/>
    </w:pPr>
    <w:rPr>
      <w:rFonts w:ascii="仿宋_GB2312" w:hAnsi="Calibri" w:eastAsia="仿宋_GB2312"/>
      <w:kern w:val="0"/>
      <w:sz w:val="32"/>
      <w:szCs w:val="32"/>
    </w:rPr>
  </w:style>
  <w:style w:type="character" w:customStyle="1" w:styleId="20">
    <w:name w:val="标题 5 字符"/>
    <w:basedOn w:val="15"/>
    <w:link w:val="5"/>
    <w:semiHidden/>
    <w:qFormat/>
    <w:uiPriority w:val="9"/>
    <w:rPr>
      <w:rFonts w:ascii="Times New Roman" w:hAnsi="Times New Roman" w:eastAsia="宋体" w:cs="Times New Roman"/>
      <w:b/>
      <w:bCs/>
      <w:sz w:val="28"/>
      <w:szCs w:val="28"/>
    </w:rPr>
  </w:style>
  <w:style w:type="character" w:customStyle="1" w:styleId="21">
    <w:name w:val="标题 1 字符"/>
    <w:basedOn w:val="15"/>
    <w:link w:val="3"/>
    <w:qFormat/>
    <w:uiPriority w:val="9"/>
    <w:rPr>
      <w:rFonts w:ascii="Times New Roman" w:hAnsi="Times New Roman" w:eastAsia="宋体" w:cs="Times New Roman"/>
      <w:b/>
      <w:bCs/>
      <w:kern w:val="44"/>
      <w:sz w:val="44"/>
      <w:szCs w:val="44"/>
    </w:rPr>
  </w:style>
  <w:style w:type="character" w:customStyle="1" w:styleId="22">
    <w:name w:val="NormalCharacter"/>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70</Pages>
  <Words>33199</Words>
  <Characters>33653</Characters>
  <Lines>191</Lines>
  <Paragraphs>53</Paragraphs>
  <TotalTime>125</TotalTime>
  <ScaleCrop>false</ScaleCrop>
  <LinksUpToDate>false</LinksUpToDate>
  <CharactersWithSpaces>33777</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2022-12-20T05:28:00Z</dcterms:created>
  <dc:creator>pyq834285552@outlook.com</dc:creator>
  <cp:lastModifiedBy>涂建</cp:lastModifiedBy>
  <cp:lastPrinted>2022-12-23T07:01:00Z</cp:lastPrinted>
  <dcterms:modified xsi:type="dcterms:W3CDTF">2022-12-24T08:16:16Z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371D31CBDC6E491EB54595038CD0ECCB</vt:lpwstr>
  </property>
</Properties>
</file>